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981" w:rsidRDefault="00430981" w:rsidP="00430981">
      <w:pPr>
        <w:spacing w:line="820" w:lineRule="exact"/>
        <w:ind w:firstLineChars="100" w:firstLine="1200"/>
        <w:rPr>
          <w:rFonts w:ascii="Times New Roman" w:eastAsia="宋体" w:hAnsi="Times New Roman"/>
          <w:bCs/>
          <w:spacing w:val="100"/>
          <w:sz w:val="100"/>
        </w:rPr>
      </w:pPr>
    </w:p>
    <w:p w:rsidR="00430981" w:rsidRDefault="00430981" w:rsidP="00430981">
      <w:pPr>
        <w:spacing w:line="820" w:lineRule="exact"/>
        <w:ind w:firstLineChars="100" w:firstLine="1200"/>
        <w:rPr>
          <w:rFonts w:ascii="Times New Roman" w:eastAsia="宋体" w:hAnsi="Times New Roman"/>
          <w:bCs/>
          <w:spacing w:val="100"/>
          <w:sz w:val="100"/>
        </w:rPr>
      </w:pPr>
    </w:p>
    <w:p w:rsidR="00430981" w:rsidRDefault="00430981" w:rsidP="00430981">
      <w:pPr>
        <w:spacing w:line="1200" w:lineRule="exact"/>
        <w:ind w:firstLineChars="100" w:firstLine="1200"/>
        <w:rPr>
          <w:rFonts w:ascii="Times New Roman" w:eastAsia="宋体" w:hAnsi="Times New Roman"/>
          <w:bCs/>
          <w:spacing w:val="100"/>
          <w:sz w:val="100"/>
        </w:rPr>
      </w:pPr>
      <w:r>
        <w:rPr>
          <w:rFonts w:ascii="Times New Roman" w:eastAsia="宋体" w:hAnsi="Times New Roman" w:hint="eastAsia"/>
          <w:bCs/>
          <w:spacing w:val="100"/>
          <w:sz w:val="100"/>
        </w:rPr>
        <w:t>临床药学信息</w:t>
      </w:r>
    </w:p>
    <w:p w:rsidR="00430981" w:rsidRDefault="00430981" w:rsidP="00430981">
      <w:pPr>
        <w:spacing w:line="1200" w:lineRule="exact"/>
        <w:jc w:val="center"/>
        <w:rPr>
          <w:rFonts w:ascii="Times New Roman" w:eastAsia="华文新魏" w:hAnsi="Times New Roman"/>
          <w:bCs/>
          <w:spacing w:val="100"/>
          <w:sz w:val="100"/>
        </w:rPr>
      </w:pPr>
      <w:r>
        <w:rPr>
          <w:rFonts w:ascii="Times New Roman" w:hAnsi="Times New Roman"/>
          <w:sz w:val="38"/>
        </w:rPr>
        <w:t>CLINICAL  PHARMACY  INFORMATION</w:t>
      </w:r>
    </w:p>
    <w:p w:rsidR="00430981" w:rsidRDefault="00430981" w:rsidP="00430981">
      <w:pPr>
        <w:tabs>
          <w:tab w:val="left" w:pos="4875"/>
        </w:tabs>
        <w:spacing w:line="360" w:lineRule="exact"/>
        <w:jc w:val="center"/>
        <w:rPr>
          <w:rFonts w:ascii="Times New Roman" w:hAnsi="Times New Roman"/>
        </w:rPr>
      </w:pPr>
    </w:p>
    <w:p w:rsidR="00430981" w:rsidRDefault="00430981" w:rsidP="00430981">
      <w:pPr>
        <w:tabs>
          <w:tab w:val="left" w:pos="4875"/>
        </w:tabs>
        <w:jc w:val="center"/>
        <w:rPr>
          <w:rFonts w:ascii="Times New Roman" w:eastAsia="宋体" w:hAnsi="Times New Roman"/>
          <w:spacing w:val="-8"/>
          <w:szCs w:val="32"/>
        </w:rPr>
      </w:pPr>
      <w:r>
        <w:rPr>
          <w:rFonts w:ascii="Times New Roman" w:eastAsia="宋体" w:hAnsi="Times New Roman" w:hint="eastAsia"/>
          <w:spacing w:val="-8"/>
          <w:szCs w:val="32"/>
        </w:rPr>
        <w:t>主办：临床药学室</w:t>
      </w:r>
    </w:p>
    <w:p w:rsidR="00430981" w:rsidRDefault="00430981" w:rsidP="00430981">
      <w:pPr>
        <w:tabs>
          <w:tab w:val="left" w:pos="4875"/>
        </w:tabs>
        <w:spacing w:line="360" w:lineRule="exact"/>
        <w:jc w:val="center"/>
        <w:rPr>
          <w:rFonts w:ascii="Times New Roman" w:eastAsia="黑体" w:hAnsi="Times New Roman"/>
          <w:sz w:val="26"/>
          <w:szCs w:val="26"/>
        </w:rPr>
      </w:pPr>
    </w:p>
    <w:p w:rsidR="00430981" w:rsidRDefault="00430981" w:rsidP="00430981">
      <w:pPr>
        <w:tabs>
          <w:tab w:val="left" w:pos="4875"/>
        </w:tabs>
        <w:jc w:val="center"/>
        <w:rPr>
          <w:rFonts w:ascii="Times New Roman" w:eastAsia="宋体" w:hAnsi="Times New Roman"/>
          <w:sz w:val="28"/>
          <w:szCs w:val="28"/>
        </w:rPr>
      </w:pPr>
      <w:r>
        <w:rPr>
          <w:rFonts w:ascii="Times New Roman" w:eastAsia="宋体" w:hAnsi="Times New Roman" w:hint="eastAsia"/>
          <w:sz w:val="28"/>
          <w:szCs w:val="28"/>
        </w:rPr>
        <w:t>总第</w:t>
      </w:r>
      <w:r>
        <w:rPr>
          <w:rFonts w:ascii="Times New Roman" w:eastAsia="宋体" w:hAnsi="Times New Roman" w:hint="eastAsia"/>
          <w:sz w:val="28"/>
          <w:szCs w:val="28"/>
        </w:rPr>
        <w:t>13</w:t>
      </w:r>
      <w:r w:rsidR="00992A9C">
        <w:rPr>
          <w:rFonts w:ascii="Times New Roman" w:eastAsia="宋体" w:hAnsi="Times New Roman" w:hint="eastAsia"/>
          <w:sz w:val="28"/>
          <w:szCs w:val="28"/>
        </w:rPr>
        <w:t>3</w:t>
      </w:r>
      <w:r>
        <w:rPr>
          <w:rFonts w:ascii="Times New Roman" w:eastAsia="宋体" w:hAnsi="Times New Roman" w:hint="eastAsia"/>
          <w:sz w:val="28"/>
          <w:szCs w:val="28"/>
        </w:rPr>
        <w:t>期</w:t>
      </w:r>
      <w:r>
        <w:rPr>
          <w:rFonts w:ascii="Times New Roman" w:eastAsia="宋体" w:hAnsi="Times New Roman" w:hint="eastAsia"/>
          <w:sz w:val="28"/>
          <w:szCs w:val="28"/>
        </w:rPr>
        <w:t xml:space="preserve"> </w:t>
      </w:r>
      <w:r>
        <w:rPr>
          <w:rFonts w:ascii="Times New Roman" w:eastAsia="宋体" w:hAnsi="Times New Roman"/>
          <w:sz w:val="28"/>
          <w:szCs w:val="28"/>
        </w:rPr>
        <w:t>201</w:t>
      </w:r>
      <w:r>
        <w:rPr>
          <w:rFonts w:ascii="Times New Roman" w:eastAsia="宋体" w:hAnsi="Times New Roman" w:hint="eastAsia"/>
          <w:sz w:val="28"/>
          <w:szCs w:val="28"/>
        </w:rPr>
        <w:t>9</w:t>
      </w:r>
      <w:r>
        <w:rPr>
          <w:rFonts w:ascii="Times New Roman" w:eastAsia="宋体" w:hAnsi="Times New Roman" w:hint="eastAsia"/>
          <w:sz w:val="28"/>
          <w:szCs w:val="28"/>
        </w:rPr>
        <w:t>年第</w:t>
      </w:r>
      <w:r w:rsidR="000C311C">
        <w:rPr>
          <w:rFonts w:ascii="Times New Roman" w:eastAsia="宋体" w:hAnsi="Times New Roman" w:hint="eastAsia"/>
          <w:sz w:val="28"/>
          <w:szCs w:val="28"/>
        </w:rPr>
        <w:t>3</w:t>
      </w:r>
      <w:r>
        <w:rPr>
          <w:rFonts w:ascii="Times New Roman" w:eastAsia="宋体" w:hAnsi="Times New Roman" w:hint="eastAsia"/>
          <w:sz w:val="28"/>
          <w:szCs w:val="28"/>
        </w:rPr>
        <w:t>期</w:t>
      </w: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4875"/>
        </w:tabs>
        <w:jc w:val="center"/>
        <w:rPr>
          <w:rFonts w:ascii="Times New Roman" w:eastAsia="黑体" w:hAnsi="Times New Roman"/>
          <w:sz w:val="34"/>
        </w:rPr>
      </w:pPr>
    </w:p>
    <w:p w:rsidR="00430981" w:rsidRPr="004F2DC6" w:rsidRDefault="00430981" w:rsidP="00430981">
      <w:pPr>
        <w:tabs>
          <w:tab w:val="left" w:pos="4875"/>
        </w:tabs>
        <w:jc w:val="center"/>
        <w:rPr>
          <w:rFonts w:ascii="Times New Roman" w:eastAsia="黑体" w:hAnsi="Times New Roman"/>
          <w:sz w:val="34"/>
        </w:rPr>
      </w:pPr>
      <w:r>
        <w:rPr>
          <w:rFonts w:ascii="Times New Roman" w:eastAsia="黑体" w:hAnsi="Times New Roman" w:hint="eastAsia"/>
          <w:sz w:val="34"/>
        </w:rPr>
        <w:t>宜</w:t>
      </w:r>
      <w:r>
        <w:rPr>
          <w:rFonts w:ascii="Times New Roman" w:eastAsia="黑体" w:hAnsi="Times New Roman" w:hint="eastAsia"/>
          <w:sz w:val="34"/>
        </w:rPr>
        <w:t xml:space="preserve"> </w:t>
      </w:r>
      <w:r>
        <w:rPr>
          <w:rFonts w:ascii="Times New Roman" w:eastAsia="黑体" w:hAnsi="Times New Roman" w:hint="eastAsia"/>
          <w:sz w:val="34"/>
        </w:rPr>
        <w:t>兴</w:t>
      </w:r>
      <w:r>
        <w:rPr>
          <w:rFonts w:ascii="Times New Roman" w:eastAsia="黑体" w:hAnsi="Times New Roman" w:hint="eastAsia"/>
          <w:sz w:val="34"/>
        </w:rPr>
        <w:t xml:space="preserve"> </w:t>
      </w:r>
      <w:r>
        <w:rPr>
          <w:rFonts w:ascii="Times New Roman" w:eastAsia="黑体" w:hAnsi="Times New Roman" w:hint="eastAsia"/>
          <w:sz w:val="34"/>
        </w:rPr>
        <w:t>市</w:t>
      </w:r>
      <w:r>
        <w:rPr>
          <w:rFonts w:ascii="Times New Roman" w:eastAsia="黑体" w:hAnsi="Times New Roman" w:hint="eastAsia"/>
          <w:sz w:val="34"/>
        </w:rPr>
        <w:t xml:space="preserve"> </w:t>
      </w:r>
      <w:r>
        <w:rPr>
          <w:rFonts w:ascii="Times New Roman" w:eastAsia="黑体" w:hAnsi="Times New Roman" w:hint="eastAsia"/>
          <w:sz w:val="34"/>
        </w:rPr>
        <w:t>第</w:t>
      </w:r>
      <w:r>
        <w:rPr>
          <w:rFonts w:ascii="Times New Roman" w:eastAsia="黑体" w:hAnsi="Times New Roman" w:hint="eastAsia"/>
          <w:sz w:val="34"/>
        </w:rPr>
        <w:t xml:space="preserve"> </w:t>
      </w:r>
      <w:r>
        <w:rPr>
          <w:rFonts w:ascii="Times New Roman" w:eastAsia="黑体" w:hAnsi="Times New Roman" w:hint="eastAsia"/>
          <w:sz w:val="34"/>
        </w:rPr>
        <w:t>四</w:t>
      </w:r>
      <w:r>
        <w:rPr>
          <w:rFonts w:ascii="Times New Roman" w:eastAsia="黑体" w:hAnsi="Times New Roman" w:hint="eastAsia"/>
          <w:sz w:val="34"/>
        </w:rPr>
        <w:t xml:space="preserve"> </w:t>
      </w:r>
      <w:r>
        <w:rPr>
          <w:rFonts w:ascii="Times New Roman" w:eastAsia="黑体" w:hAnsi="Times New Roman" w:hint="eastAsia"/>
          <w:sz w:val="34"/>
        </w:rPr>
        <w:t>人</w:t>
      </w:r>
      <w:r>
        <w:rPr>
          <w:rFonts w:ascii="Times New Roman" w:eastAsia="黑体" w:hAnsi="Times New Roman" w:hint="eastAsia"/>
          <w:sz w:val="34"/>
        </w:rPr>
        <w:t xml:space="preserve"> </w:t>
      </w:r>
      <w:r>
        <w:rPr>
          <w:rFonts w:ascii="Times New Roman" w:eastAsia="黑体" w:hAnsi="Times New Roman" w:hint="eastAsia"/>
          <w:sz w:val="34"/>
        </w:rPr>
        <w:t>民</w:t>
      </w:r>
      <w:r>
        <w:rPr>
          <w:rFonts w:ascii="Times New Roman" w:eastAsia="黑体" w:hAnsi="Times New Roman" w:hint="eastAsia"/>
          <w:sz w:val="34"/>
        </w:rPr>
        <w:t xml:space="preserve"> </w:t>
      </w:r>
      <w:r>
        <w:rPr>
          <w:rFonts w:ascii="Times New Roman" w:eastAsia="黑体" w:hAnsi="Times New Roman" w:hint="eastAsia"/>
          <w:sz w:val="34"/>
        </w:rPr>
        <w:t>医</w:t>
      </w:r>
      <w:r>
        <w:rPr>
          <w:rFonts w:ascii="Times New Roman" w:eastAsia="黑体" w:hAnsi="Times New Roman" w:hint="eastAsia"/>
          <w:sz w:val="34"/>
        </w:rPr>
        <w:t xml:space="preserve"> </w:t>
      </w:r>
      <w:r>
        <w:rPr>
          <w:rFonts w:ascii="Times New Roman" w:eastAsia="黑体" w:hAnsi="Times New Roman" w:hint="eastAsia"/>
          <w:sz w:val="34"/>
        </w:rPr>
        <w:t>院</w:t>
      </w:r>
    </w:p>
    <w:p w:rsidR="00430981" w:rsidRDefault="00430981" w:rsidP="00430981">
      <w:pPr>
        <w:tabs>
          <w:tab w:val="left" w:pos="4875"/>
        </w:tabs>
        <w:jc w:val="center"/>
        <w:rPr>
          <w:rFonts w:ascii="Times New Roman" w:eastAsia="宋体" w:hAnsi="Times New Roman"/>
          <w:b/>
          <w:spacing w:val="60"/>
          <w:sz w:val="36"/>
          <w:szCs w:val="36"/>
        </w:rPr>
      </w:pPr>
      <w:r>
        <w:rPr>
          <w:rFonts w:ascii="Times New Roman" w:eastAsia="宋体" w:hAnsi="Times New Roman" w:hint="eastAsia"/>
          <w:b/>
          <w:spacing w:val="60"/>
          <w:sz w:val="36"/>
          <w:szCs w:val="36"/>
        </w:rPr>
        <w:t>二</w:t>
      </w:r>
      <w:r>
        <w:rPr>
          <w:rFonts w:ascii="宋体" w:eastAsia="宋体" w:hAnsi="宋体" w:hint="eastAsia"/>
          <w:b/>
          <w:spacing w:val="60"/>
          <w:sz w:val="36"/>
          <w:szCs w:val="36"/>
        </w:rPr>
        <w:t>○</w:t>
      </w:r>
      <w:r w:rsidR="000C311C">
        <w:rPr>
          <w:rFonts w:ascii="Times New Roman" w:eastAsia="宋体" w:hAnsi="Times New Roman" w:hint="eastAsia"/>
          <w:b/>
          <w:spacing w:val="60"/>
          <w:sz w:val="36"/>
          <w:szCs w:val="36"/>
        </w:rPr>
        <w:t>一九年九</w:t>
      </w:r>
      <w:r>
        <w:rPr>
          <w:rFonts w:ascii="Times New Roman" w:eastAsia="宋体" w:hAnsi="Times New Roman" w:hint="eastAsia"/>
          <w:b/>
          <w:spacing w:val="60"/>
          <w:sz w:val="36"/>
          <w:szCs w:val="36"/>
        </w:rPr>
        <w:t>月</w:t>
      </w:r>
    </w:p>
    <w:p w:rsidR="00430981" w:rsidRDefault="00430981" w:rsidP="00430981">
      <w:pPr>
        <w:tabs>
          <w:tab w:val="left" w:pos="4875"/>
        </w:tabs>
        <w:jc w:val="center"/>
        <w:rPr>
          <w:rFonts w:ascii="Times New Roman" w:hAnsi="Times New Roman"/>
          <w:sz w:val="24"/>
        </w:rPr>
      </w:pP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8960"/>
          <w:tab w:val="left" w:pos="9280"/>
        </w:tabs>
        <w:spacing w:line="460" w:lineRule="exact"/>
        <w:rPr>
          <w:rFonts w:ascii="Times New Roman" w:eastAsia="Times New Roman" w:hAnsi="Times New Roman"/>
          <w:sz w:val="40"/>
          <w:szCs w:val="44"/>
        </w:rPr>
        <w:sectPr w:rsidR="00430981">
          <w:headerReference w:type="default" r:id="rId8"/>
          <w:pgSz w:w="11906" w:h="16838"/>
          <w:pgMar w:top="1985" w:right="1191" w:bottom="1134" w:left="1644" w:header="851" w:footer="1151" w:gutter="0"/>
          <w:pgNumType w:start="1"/>
          <w:cols w:space="720"/>
          <w:docGrid w:type="linesAndChars" w:linePitch="623"/>
        </w:sectPr>
      </w:pPr>
    </w:p>
    <w:p w:rsidR="00430981" w:rsidRDefault="00430981" w:rsidP="00430981">
      <w:pPr>
        <w:tabs>
          <w:tab w:val="left" w:pos="8960"/>
          <w:tab w:val="left" w:pos="9280"/>
        </w:tabs>
        <w:spacing w:line="460" w:lineRule="exact"/>
        <w:rPr>
          <w:rFonts w:ascii="Times New Roman" w:eastAsia="Times New Roman" w:hAnsi="Times New Roman"/>
          <w:sz w:val="40"/>
          <w:szCs w:val="44"/>
        </w:rPr>
      </w:pPr>
    </w:p>
    <w:p w:rsidR="00430981" w:rsidRDefault="00430981" w:rsidP="00430981">
      <w:pPr>
        <w:tabs>
          <w:tab w:val="left" w:pos="8960"/>
          <w:tab w:val="left" w:pos="9280"/>
        </w:tabs>
        <w:spacing w:line="460" w:lineRule="exact"/>
        <w:jc w:val="center"/>
        <w:rPr>
          <w:rFonts w:ascii="Times New Roman" w:eastAsia="Times New Roman" w:hAnsi="Times New Roman"/>
          <w:sz w:val="40"/>
          <w:szCs w:val="44"/>
        </w:rPr>
      </w:pPr>
      <w:r>
        <w:rPr>
          <w:rFonts w:ascii="宋体" w:eastAsia="宋体" w:hAnsi="宋体" w:cs="宋体" w:hint="eastAsia"/>
          <w:sz w:val="40"/>
          <w:szCs w:val="44"/>
        </w:rPr>
        <w:t>目录</w:t>
      </w:r>
    </w:p>
    <w:p w:rsidR="00430981" w:rsidRDefault="00430981" w:rsidP="00430981">
      <w:pPr>
        <w:tabs>
          <w:tab w:val="left" w:pos="8960"/>
        </w:tabs>
        <w:spacing w:line="620" w:lineRule="exact"/>
        <w:rPr>
          <w:rFonts w:ascii="Times New Roman" w:hAnsi="Times New Roman"/>
          <w:sz w:val="28"/>
          <w:szCs w:val="28"/>
        </w:rPr>
      </w:pPr>
    </w:p>
    <w:p w:rsidR="00430981" w:rsidRDefault="00430981" w:rsidP="00430981">
      <w:pPr>
        <w:spacing w:line="620" w:lineRule="exact"/>
        <w:rPr>
          <w:rFonts w:ascii="Times New Roman" w:hAnsi="Times New Roman"/>
          <w:sz w:val="28"/>
          <w:szCs w:val="28"/>
        </w:rPr>
      </w:pPr>
      <w:r>
        <w:rPr>
          <w:rFonts w:ascii="Times New Roman" w:hAnsi="Times New Roman" w:hint="eastAsia"/>
          <w:sz w:val="28"/>
          <w:szCs w:val="28"/>
        </w:rPr>
        <w:t>【</w:t>
      </w:r>
      <w:r>
        <w:rPr>
          <w:rFonts w:ascii="宋体" w:eastAsia="宋体" w:hAnsi="宋体" w:cs="宋体" w:hint="eastAsia"/>
          <w:sz w:val="28"/>
          <w:szCs w:val="28"/>
        </w:rPr>
        <w:t>药物警戒</w:t>
      </w:r>
      <w:r>
        <w:rPr>
          <w:rFonts w:ascii="Times New Roman" w:hAnsi="Times New Roman" w:hint="eastAsia"/>
          <w:sz w:val="28"/>
          <w:szCs w:val="28"/>
        </w:rPr>
        <w:t>】</w:t>
      </w:r>
    </w:p>
    <w:p w:rsidR="005C1E56" w:rsidRPr="005C1E56" w:rsidRDefault="005C1E56" w:rsidP="005C1E56">
      <w:pPr>
        <w:rPr>
          <w:rFonts w:ascii="宋体" w:eastAsia="宋体" w:hAnsi="宋体" w:cs="宋体"/>
          <w:sz w:val="28"/>
          <w:szCs w:val="28"/>
        </w:rPr>
      </w:pPr>
      <w:r w:rsidRPr="005C1E56">
        <w:rPr>
          <w:rFonts w:ascii="宋体" w:eastAsia="宋体" w:hAnsi="宋体" w:cs="宋体" w:hint="eastAsia"/>
          <w:sz w:val="28"/>
          <w:szCs w:val="28"/>
        </w:rPr>
        <w:t>1.加拿大警示他克莫司口服制剂用药错误的风险</w:t>
      </w:r>
    </w:p>
    <w:p w:rsidR="004D5438" w:rsidRPr="004D5438" w:rsidRDefault="005C1E56" w:rsidP="004D5438">
      <w:pPr>
        <w:rPr>
          <w:rFonts w:ascii="宋体" w:eastAsia="宋体" w:hAnsi="宋体" w:cs="宋体"/>
          <w:sz w:val="28"/>
          <w:szCs w:val="28"/>
        </w:rPr>
      </w:pPr>
      <w:r w:rsidRPr="005C1E56">
        <w:rPr>
          <w:rFonts w:ascii="宋体" w:eastAsia="宋体" w:hAnsi="宋体" w:cs="宋体" w:hint="eastAsia"/>
          <w:sz w:val="28"/>
          <w:szCs w:val="28"/>
        </w:rPr>
        <w:t>2.英国警示GLP-1受体激动剂与胰岛素联用致糖尿病酮症酸中毒风险</w:t>
      </w:r>
    </w:p>
    <w:p w:rsidR="00430981" w:rsidRDefault="00430981" w:rsidP="00430981">
      <w:pPr>
        <w:spacing w:line="620" w:lineRule="exact"/>
        <w:rPr>
          <w:rFonts w:ascii="宋体" w:eastAsia="宋体" w:hAnsi="宋体" w:cs="宋体"/>
          <w:sz w:val="28"/>
          <w:szCs w:val="28"/>
        </w:rPr>
      </w:pPr>
      <w:r>
        <w:rPr>
          <w:rFonts w:ascii="宋体" w:eastAsia="宋体" w:hAnsi="宋体" w:cs="宋体" w:hint="eastAsia"/>
          <w:sz w:val="28"/>
          <w:szCs w:val="28"/>
        </w:rPr>
        <w:t>【合理用药】</w:t>
      </w:r>
    </w:p>
    <w:p w:rsidR="00996AFC" w:rsidRDefault="004D5438" w:rsidP="00430981">
      <w:pPr>
        <w:spacing w:line="620" w:lineRule="exact"/>
        <w:rPr>
          <w:rFonts w:ascii="宋体" w:eastAsia="宋体" w:hAnsi="宋体" w:cs="宋体"/>
          <w:sz w:val="28"/>
          <w:szCs w:val="28"/>
        </w:rPr>
      </w:pPr>
      <w:r>
        <w:rPr>
          <w:rFonts w:ascii="宋体" w:eastAsia="宋体" w:hAnsi="宋体" w:cs="宋体" w:hint="eastAsia"/>
          <w:sz w:val="28"/>
          <w:szCs w:val="28"/>
        </w:rPr>
        <w:t>胃药何时服最佳</w:t>
      </w:r>
    </w:p>
    <w:p w:rsidR="003C189F" w:rsidRPr="00996AFC" w:rsidRDefault="00430981" w:rsidP="00996AFC">
      <w:pPr>
        <w:spacing w:line="620" w:lineRule="exact"/>
        <w:rPr>
          <w:rFonts w:ascii="宋体" w:eastAsia="宋体" w:hAnsi="宋体" w:cs="宋体"/>
          <w:sz w:val="28"/>
          <w:szCs w:val="28"/>
        </w:rPr>
      </w:pPr>
      <w:r>
        <w:rPr>
          <w:rFonts w:ascii="Times New Roman" w:hAnsi="Times New Roman" w:hint="eastAsia"/>
          <w:sz w:val="28"/>
          <w:szCs w:val="28"/>
        </w:rPr>
        <w:t>【</w:t>
      </w:r>
      <w:r>
        <w:rPr>
          <w:rFonts w:ascii="宋体" w:eastAsia="宋体" w:hAnsi="宋体" w:cs="宋体" w:hint="eastAsia"/>
          <w:sz w:val="28"/>
          <w:szCs w:val="28"/>
        </w:rPr>
        <w:t>新药信息】</w:t>
      </w:r>
    </w:p>
    <w:p w:rsidR="00996AFC" w:rsidRPr="00996AFC" w:rsidRDefault="00996AFC" w:rsidP="00996AFC">
      <w:pPr>
        <w:widowControl/>
        <w:spacing w:line="690" w:lineRule="atLeast"/>
        <w:jc w:val="left"/>
        <w:rPr>
          <w:rFonts w:ascii="宋体" w:eastAsia="宋体" w:hAnsi="宋体" w:cs="宋体"/>
          <w:sz w:val="28"/>
          <w:szCs w:val="28"/>
        </w:rPr>
      </w:pPr>
      <w:r w:rsidRPr="00996AFC">
        <w:rPr>
          <w:rFonts w:ascii="宋体" w:eastAsia="宋体" w:hAnsi="宋体" w:cs="宋体" w:hint="eastAsia"/>
          <w:sz w:val="28"/>
          <w:szCs w:val="28"/>
        </w:rPr>
        <w:t>美索巴莫注射液</w:t>
      </w:r>
    </w:p>
    <w:p w:rsidR="00996AFC" w:rsidRPr="00996AFC" w:rsidRDefault="00996AFC" w:rsidP="00DE46E9">
      <w:pPr>
        <w:jc w:val="left"/>
        <w:rPr>
          <w:rFonts w:ascii="黑体" w:eastAsia="黑体" w:hAnsi="黑体"/>
          <w:b/>
          <w:szCs w:val="32"/>
        </w:rPr>
        <w:sectPr w:rsidR="00996AFC" w:rsidRPr="00996AFC">
          <w:pgSz w:w="11906" w:h="16838"/>
          <w:pgMar w:top="1440" w:right="1800" w:bottom="1440" w:left="1800" w:header="851" w:footer="992" w:gutter="0"/>
          <w:cols w:space="425"/>
          <w:docGrid w:type="lines" w:linePitch="312"/>
        </w:sectPr>
      </w:pPr>
    </w:p>
    <w:p w:rsidR="00DE46E9" w:rsidRPr="005C1E56" w:rsidRDefault="00DE46E9" w:rsidP="00DE46E9">
      <w:pPr>
        <w:jc w:val="left"/>
        <w:rPr>
          <w:szCs w:val="32"/>
        </w:rPr>
      </w:pPr>
      <w:r w:rsidRPr="005C1E56">
        <w:rPr>
          <w:rFonts w:hint="eastAsia"/>
          <w:szCs w:val="32"/>
        </w:rPr>
        <w:lastRenderedPageBreak/>
        <w:t>【药物警戒】</w:t>
      </w:r>
    </w:p>
    <w:p w:rsidR="005C1E56" w:rsidRPr="005C1E56" w:rsidRDefault="005C1E56" w:rsidP="005C1E56">
      <w:pPr>
        <w:ind w:firstLineChars="200" w:firstLine="720"/>
        <w:rPr>
          <w:rFonts w:ascii="黑体" w:eastAsia="黑体" w:hAnsi="黑体"/>
          <w:sz w:val="36"/>
          <w:szCs w:val="36"/>
        </w:rPr>
      </w:pPr>
      <w:r w:rsidRPr="005C1E56">
        <w:rPr>
          <w:rFonts w:ascii="黑体" w:eastAsia="黑体" w:hAnsi="黑体" w:hint="eastAsia"/>
          <w:sz w:val="36"/>
          <w:szCs w:val="36"/>
        </w:rPr>
        <w:t>加拿大警示他克莫司口服制剂用药错误的风险</w:t>
      </w:r>
    </w:p>
    <w:p w:rsidR="005C1E56" w:rsidRPr="005C1E56" w:rsidRDefault="005C1E56" w:rsidP="005C1E56">
      <w:pPr>
        <w:ind w:firstLineChars="200" w:firstLine="720"/>
        <w:rPr>
          <w:rFonts w:ascii="黑体" w:eastAsia="黑体" w:hAnsi="黑体"/>
          <w:sz w:val="36"/>
          <w:szCs w:val="36"/>
        </w:rPr>
      </w:pP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2019年7月，加拿大卫生部发布信息，警告因无意间更换不同他克莫司口服制剂的用药错误导致移植排斥的风险。</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主要信息</w:t>
      </w:r>
    </w:p>
    <w:p w:rsidR="005C1E56" w:rsidRPr="005C1E56" w:rsidRDefault="005C1E56" w:rsidP="005C1E56">
      <w:pPr>
        <w:ind w:firstLineChars="200" w:firstLine="560"/>
        <w:rPr>
          <w:rFonts w:ascii="仿宋" w:eastAsia="仿宋" w:hAnsi="仿宋"/>
          <w:sz w:val="28"/>
          <w:szCs w:val="28"/>
        </w:rPr>
      </w:pPr>
      <w:r w:rsidRPr="005C1E56">
        <w:rPr>
          <w:rFonts w:ascii="仿宋" w:eastAsia="宋体" w:hAnsi="宋体" w:cs="宋体" w:hint="eastAsia"/>
          <w:sz w:val="28"/>
          <w:szCs w:val="28"/>
        </w:rPr>
        <w:t>•</w:t>
      </w:r>
      <w:r w:rsidRPr="005C1E56">
        <w:rPr>
          <w:rFonts w:ascii="仿宋" w:eastAsia="仿宋" w:hAnsi="仿宋"/>
          <w:sz w:val="28"/>
          <w:szCs w:val="28"/>
        </w:rPr>
        <w:t xml:space="preserve">  </w:t>
      </w:r>
      <w:r w:rsidRPr="005C1E56">
        <w:rPr>
          <w:rFonts w:ascii="仿宋" w:eastAsia="仿宋" w:hAnsi="仿宋" w:hint="eastAsia"/>
          <w:sz w:val="28"/>
          <w:szCs w:val="28"/>
        </w:rPr>
        <w:t>已有报道，患者接受错误的他克莫司口服制剂后因体内药物暴露量不足或过量出现移植排斥和其他不良反应。</w:t>
      </w:r>
    </w:p>
    <w:p w:rsidR="005C1E56" w:rsidRPr="005C1E56" w:rsidRDefault="005C1E56" w:rsidP="005C1E56">
      <w:pPr>
        <w:ind w:firstLineChars="200" w:firstLine="560"/>
        <w:rPr>
          <w:rFonts w:ascii="仿宋" w:eastAsia="仿宋" w:hAnsi="仿宋"/>
          <w:sz w:val="28"/>
          <w:szCs w:val="28"/>
        </w:rPr>
      </w:pPr>
      <w:r w:rsidRPr="005C1E56">
        <w:rPr>
          <w:rFonts w:ascii="仿宋" w:eastAsia="宋体" w:hAnsi="宋体" w:cs="宋体" w:hint="eastAsia"/>
          <w:sz w:val="28"/>
          <w:szCs w:val="28"/>
        </w:rPr>
        <w:t>•</w:t>
      </w:r>
      <w:r w:rsidRPr="005C1E56">
        <w:rPr>
          <w:rFonts w:ascii="仿宋" w:eastAsia="仿宋" w:hAnsi="仿宋"/>
          <w:sz w:val="28"/>
          <w:szCs w:val="28"/>
        </w:rPr>
        <w:t xml:space="preserve">  </w:t>
      </w:r>
      <w:r w:rsidRPr="005C1E56">
        <w:rPr>
          <w:rFonts w:ascii="仿宋" w:eastAsia="仿宋" w:hAnsi="仿宋" w:hint="eastAsia"/>
          <w:sz w:val="28"/>
          <w:szCs w:val="28"/>
        </w:rPr>
        <w:t>在加拿大使用的三种他克莫司口服制剂是不可互换的。在没有合适的剂量调整和监测下，无意的更换会导致移植排斥和其他不良反应。</w:t>
      </w:r>
    </w:p>
    <w:p w:rsidR="005C1E56" w:rsidRPr="005C1E56" w:rsidRDefault="005C1E56" w:rsidP="005C1E56">
      <w:pPr>
        <w:ind w:firstLineChars="200" w:firstLine="560"/>
        <w:rPr>
          <w:rFonts w:ascii="仿宋" w:eastAsia="仿宋" w:hAnsi="仿宋"/>
          <w:sz w:val="28"/>
          <w:szCs w:val="28"/>
        </w:rPr>
      </w:pPr>
      <w:r w:rsidRPr="005C1E56">
        <w:rPr>
          <w:rFonts w:ascii="仿宋" w:eastAsia="宋体" w:hAnsi="宋体" w:cs="宋体" w:hint="eastAsia"/>
          <w:sz w:val="28"/>
          <w:szCs w:val="28"/>
        </w:rPr>
        <w:t>•</w:t>
      </w:r>
      <w:r w:rsidRPr="005C1E56">
        <w:rPr>
          <w:rFonts w:ascii="仿宋" w:eastAsia="仿宋" w:hAnsi="仿宋"/>
          <w:sz w:val="28"/>
          <w:szCs w:val="28"/>
        </w:rPr>
        <w:t xml:space="preserve">  </w:t>
      </w:r>
      <w:r w:rsidRPr="005C1E56">
        <w:rPr>
          <w:rFonts w:ascii="仿宋" w:eastAsia="仿宋" w:hAnsi="仿宋" w:hint="eastAsia"/>
          <w:sz w:val="28"/>
          <w:szCs w:val="28"/>
        </w:rPr>
        <w:t>如果处方者需要在不同制剂间更换，仔细的医疗观察和疗效监测是必须的。剂量调整需维持血药浓度在治疗范围内。</w:t>
      </w:r>
    </w:p>
    <w:p w:rsidR="005C1E56" w:rsidRPr="005C1E56" w:rsidRDefault="005C1E56" w:rsidP="005C1E56">
      <w:pPr>
        <w:ind w:firstLineChars="200" w:firstLine="560"/>
        <w:rPr>
          <w:rFonts w:ascii="仿宋" w:eastAsia="仿宋" w:hAnsi="仿宋"/>
          <w:sz w:val="28"/>
          <w:szCs w:val="28"/>
        </w:rPr>
      </w:pPr>
      <w:r w:rsidRPr="005C1E56">
        <w:rPr>
          <w:rFonts w:ascii="仿宋" w:eastAsia="宋体" w:hAnsi="宋体" w:cs="宋体" w:hint="eastAsia"/>
          <w:sz w:val="28"/>
          <w:szCs w:val="28"/>
        </w:rPr>
        <w:t>•</w:t>
      </w:r>
      <w:r w:rsidRPr="005C1E56">
        <w:rPr>
          <w:rFonts w:ascii="仿宋" w:eastAsia="仿宋" w:hAnsi="仿宋"/>
          <w:sz w:val="28"/>
          <w:szCs w:val="28"/>
        </w:rPr>
        <w:t xml:space="preserve">  </w:t>
      </w:r>
      <w:r w:rsidRPr="005C1E56">
        <w:rPr>
          <w:rFonts w:ascii="仿宋" w:eastAsia="仿宋" w:hAnsi="仿宋" w:hint="eastAsia"/>
          <w:sz w:val="28"/>
          <w:szCs w:val="28"/>
        </w:rPr>
        <w:t>为避免因更换不同他克莫司制剂而引起不良反应，提醒医务人员以下事项：</w:t>
      </w:r>
    </w:p>
    <w:p w:rsidR="005C1E56" w:rsidRPr="005C1E56" w:rsidRDefault="005C1E56" w:rsidP="005C1E56">
      <w:pPr>
        <w:ind w:firstLineChars="200" w:firstLine="560"/>
        <w:rPr>
          <w:rFonts w:ascii="仿宋" w:eastAsia="仿宋" w:hAnsi="仿宋"/>
          <w:sz w:val="28"/>
          <w:szCs w:val="28"/>
        </w:rPr>
      </w:pPr>
      <w:r w:rsidRPr="005C1E56">
        <w:rPr>
          <w:rFonts w:ascii="仿宋" w:eastAsia="宋体" w:hAnsi="宋体" w:cs="宋体" w:hint="eastAsia"/>
          <w:sz w:val="28"/>
          <w:szCs w:val="28"/>
        </w:rPr>
        <w:t>•</w:t>
      </w:r>
      <w:r w:rsidRPr="005C1E56">
        <w:rPr>
          <w:rFonts w:ascii="仿宋" w:eastAsia="仿宋" w:hAnsi="仿宋"/>
          <w:sz w:val="28"/>
          <w:szCs w:val="28"/>
        </w:rPr>
        <w:t xml:space="preserve">  </w:t>
      </w:r>
      <w:r w:rsidRPr="005C1E56">
        <w:rPr>
          <w:rFonts w:ascii="仿宋" w:eastAsia="仿宋" w:hAnsi="仿宋" w:hint="eastAsia"/>
          <w:sz w:val="28"/>
          <w:szCs w:val="28"/>
        </w:rPr>
        <w:t>在处方书写、处方和药物调配信息系统的药物选择界面、药物存储地点，为不同制剂增加显著的标识（如：速释，缓释或延长释药）。</w:t>
      </w:r>
    </w:p>
    <w:p w:rsidR="005C1E56" w:rsidRPr="005C1E56" w:rsidRDefault="005C1E56" w:rsidP="005C1E56">
      <w:pPr>
        <w:ind w:firstLineChars="200" w:firstLine="560"/>
        <w:rPr>
          <w:rFonts w:ascii="仿宋" w:eastAsia="仿宋" w:hAnsi="仿宋"/>
          <w:sz w:val="28"/>
          <w:szCs w:val="28"/>
        </w:rPr>
      </w:pPr>
      <w:r w:rsidRPr="005C1E56">
        <w:rPr>
          <w:rFonts w:ascii="仿宋" w:eastAsia="宋体" w:hAnsi="宋体" w:cs="宋体" w:hint="eastAsia"/>
          <w:sz w:val="28"/>
          <w:szCs w:val="28"/>
        </w:rPr>
        <w:t>•</w:t>
      </w:r>
      <w:r w:rsidRPr="005C1E56">
        <w:rPr>
          <w:rFonts w:ascii="仿宋" w:eastAsia="仿宋" w:hAnsi="仿宋"/>
          <w:sz w:val="28"/>
          <w:szCs w:val="28"/>
        </w:rPr>
        <w:t xml:space="preserve">  </w:t>
      </w:r>
      <w:r w:rsidRPr="005C1E56">
        <w:rPr>
          <w:rFonts w:ascii="仿宋" w:eastAsia="仿宋" w:hAnsi="仿宋" w:hint="eastAsia"/>
          <w:sz w:val="28"/>
          <w:szCs w:val="28"/>
        </w:rPr>
        <w:t>在药物使用过程中使用商品名或产品名以确定特定的配方是针对患者的。</w:t>
      </w:r>
    </w:p>
    <w:p w:rsidR="005C1E56" w:rsidRPr="005C1E56" w:rsidRDefault="005C1E56" w:rsidP="005C1E56">
      <w:pPr>
        <w:ind w:firstLineChars="200" w:firstLine="560"/>
        <w:rPr>
          <w:rFonts w:ascii="仿宋" w:eastAsia="仿宋" w:hAnsi="仿宋"/>
          <w:sz w:val="28"/>
          <w:szCs w:val="28"/>
        </w:rPr>
      </w:pPr>
      <w:r w:rsidRPr="005C1E56">
        <w:rPr>
          <w:rFonts w:ascii="仿宋" w:eastAsia="宋体" w:hAnsi="宋体" w:cs="宋体" w:hint="eastAsia"/>
          <w:sz w:val="28"/>
          <w:szCs w:val="28"/>
        </w:rPr>
        <w:t>•</w:t>
      </w:r>
      <w:r w:rsidRPr="005C1E56">
        <w:rPr>
          <w:rFonts w:ascii="仿宋" w:eastAsia="仿宋" w:hAnsi="仿宋"/>
          <w:sz w:val="28"/>
          <w:szCs w:val="28"/>
        </w:rPr>
        <w:t xml:space="preserve">  </w:t>
      </w:r>
      <w:r w:rsidRPr="005C1E56">
        <w:rPr>
          <w:rFonts w:ascii="仿宋" w:eastAsia="仿宋" w:hAnsi="仿宋" w:hint="eastAsia"/>
          <w:sz w:val="28"/>
          <w:szCs w:val="28"/>
        </w:rPr>
        <w:t>考虑对电子处方和药房订单增加包括制剂间没有互换的警告和剂量频率提醒的自动警报。</w:t>
      </w:r>
    </w:p>
    <w:p w:rsidR="005C1E56" w:rsidRPr="005C1E56" w:rsidRDefault="005C1E56" w:rsidP="005C1E56">
      <w:pPr>
        <w:ind w:firstLineChars="200" w:firstLine="560"/>
        <w:rPr>
          <w:rFonts w:ascii="仿宋" w:eastAsia="仿宋" w:hAnsi="仿宋"/>
          <w:sz w:val="28"/>
          <w:szCs w:val="28"/>
        </w:rPr>
      </w:pPr>
      <w:r w:rsidRPr="005C1E56">
        <w:rPr>
          <w:rFonts w:ascii="仿宋" w:eastAsia="宋体" w:hAnsi="宋体" w:cs="宋体" w:hint="eastAsia"/>
          <w:sz w:val="28"/>
          <w:szCs w:val="28"/>
        </w:rPr>
        <w:lastRenderedPageBreak/>
        <w:t>•</w:t>
      </w:r>
      <w:r w:rsidRPr="005C1E56">
        <w:rPr>
          <w:rFonts w:ascii="仿宋" w:eastAsia="仿宋" w:hAnsi="仿宋"/>
          <w:sz w:val="28"/>
          <w:szCs w:val="28"/>
        </w:rPr>
        <w:t xml:space="preserve">  </w:t>
      </w:r>
      <w:r w:rsidRPr="005C1E56">
        <w:rPr>
          <w:rFonts w:ascii="仿宋" w:eastAsia="仿宋" w:hAnsi="仿宋" w:hint="eastAsia"/>
          <w:sz w:val="28"/>
          <w:szCs w:val="28"/>
        </w:rPr>
        <w:t>向病人和</w:t>
      </w:r>
      <w:r w:rsidRPr="005C1E56">
        <w:rPr>
          <w:rFonts w:ascii="仿宋" w:eastAsia="仿宋" w:hAnsi="仿宋"/>
          <w:sz w:val="28"/>
          <w:szCs w:val="28"/>
        </w:rPr>
        <w:t>/</w:t>
      </w:r>
      <w:r w:rsidRPr="005C1E56">
        <w:rPr>
          <w:rFonts w:ascii="仿宋" w:eastAsia="仿宋" w:hAnsi="仿宋" w:hint="eastAsia"/>
          <w:sz w:val="28"/>
          <w:szCs w:val="28"/>
        </w:rPr>
        <w:t>或其看护人员充分解释药物及其不同制剂，鼓励他们在注意到药物改变时与医务人员沟通。</w:t>
      </w:r>
    </w:p>
    <w:p w:rsidR="005C1E56" w:rsidRPr="005C1E56" w:rsidRDefault="005C1E56" w:rsidP="005C1E56">
      <w:pPr>
        <w:ind w:firstLineChars="200" w:firstLine="560"/>
        <w:rPr>
          <w:rFonts w:ascii="仿宋" w:eastAsia="仿宋" w:hAnsi="仿宋"/>
          <w:sz w:val="28"/>
          <w:szCs w:val="28"/>
        </w:rPr>
      </w:pPr>
      <w:r w:rsidRPr="005C1E56">
        <w:rPr>
          <w:rFonts w:ascii="仿宋" w:eastAsia="宋体" w:hAnsi="宋体" w:cs="宋体" w:hint="eastAsia"/>
          <w:sz w:val="28"/>
          <w:szCs w:val="28"/>
        </w:rPr>
        <w:t>•</w:t>
      </w:r>
      <w:r w:rsidRPr="005C1E56">
        <w:rPr>
          <w:rFonts w:ascii="仿宋" w:eastAsia="仿宋" w:hAnsi="仿宋"/>
          <w:sz w:val="28"/>
          <w:szCs w:val="28"/>
        </w:rPr>
        <w:t xml:space="preserve">  </w:t>
      </w:r>
      <w:r w:rsidRPr="005C1E56">
        <w:rPr>
          <w:rFonts w:ascii="仿宋" w:eastAsia="仿宋" w:hAnsi="仿宋" w:hint="eastAsia"/>
          <w:sz w:val="28"/>
          <w:szCs w:val="28"/>
        </w:rPr>
        <w:t>加拿大卫生健康部门已经与他克莫司产品的制造商们沟通，在名称和说明书上对产品制剂进行突出显示。</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问题已有报道，病人在接受错误的他克莫司口服制剂后引起移植排斥和其他不良反应。</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背景信息</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他克莫司是一种口服免疫抑制药物，用于预防和治疗器官移植排斥反应。他克莫司治疗窗狭窄，血药浓度较小的变化也会引起移植排斥和其他不良反应。在加拿大批准的不同规格的三种不同的他克莫司制剂（见受影响产品表）会增加无意间改换错误产品和导致剂量错误的潜在风险。</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制剂混淆引起的他克莫司暴露量不足导致移植排斥和暴露过量导致例如肾功能受损的其他不良反应的案例在加拿大全国范围内都有报道。加拿大卫生健康部门已经收到9例在加拿大无意间换用了不同他克莫司制剂产品的用药错误报告：无移植排斥反应报告，有两例肾脏反应报告。</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如果处方者要更换制剂，必须要仔细进行医疗观察和疗效监测。剂量调整需保证血药浓度维持在治疗范围内。</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为减少产品混淆的潜在风险，加拿大卫生健康部门已经与他克莫司产品的制造商们沟通，在名称和说明书上对产品制剂进行突出显示。</w:t>
      </w:r>
    </w:p>
    <w:p w:rsidR="005C1E56" w:rsidRPr="005C1E56" w:rsidRDefault="005C1E56" w:rsidP="005C1E56">
      <w:pPr>
        <w:rPr>
          <w:rFonts w:ascii="仿宋" w:eastAsia="仿宋" w:hAnsi="仿宋"/>
          <w:sz w:val="28"/>
          <w:szCs w:val="28"/>
        </w:rPr>
      </w:pPr>
      <w:r w:rsidRPr="005C1E56">
        <w:rPr>
          <w:rFonts w:ascii="仿宋" w:eastAsia="仿宋" w:hAnsi="仿宋" w:hint="eastAsia"/>
          <w:sz w:val="28"/>
          <w:szCs w:val="28"/>
        </w:rPr>
        <w:t>受影响的人群给消费者的信息：</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lastRenderedPageBreak/>
        <w:t>他克莫司是一种用于移植后帮助预防或治疗器官排斥的药物。在加拿大有三种多规格的他克莫司口服制剂：速释胶囊，缓释胶囊和延长释放片剂。不同制剂不能交换使用。</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加拿大卫生部已经收到患者接受错误类型制剂的用药错误报告。服用错误的他克莫司制剂会导致例如移植排斥等严重的副作用。</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患者应该服用相同类型的他克莫司药物，而且在没有医生的建议和指导下，不应更换为其他的他克莫司制剂。</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当患者观察到药品外观、剂量、商品名/产品名、或包装发生变化时应立即与专业医务人员取得联系。</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患者或其看护人应与专业医务人员联系获得关于新安全性信息的更多细节。</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给专业医务人员的信息：</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建议医务人员：</w:t>
      </w:r>
    </w:p>
    <w:p w:rsidR="005C1E56" w:rsidRPr="005C1E56" w:rsidRDefault="005C1E56" w:rsidP="005C1E56">
      <w:pPr>
        <w:ind w:firstLineChars="200" w:firstLine="560"/>
        <w:rPr>
          <w:rFonts w:ascii="仿宋" w:eastAsia="仿宋" w:hAnsi="仿宋"/>
          <w:sz w:val="28"/>
          <w:szCs w:val="28"/>
        </w:rPr>
      </w:pPr>
      <w:r w:rsidRPr="005C1E56">
        <w:rPr>
          <w:rFonts w:ascii="仿宋" w:eastAsia="宋体" w:hAnsi="宋体" w:cs="宋体" w:hint="eastAsia"/>
          <w:sz w:val="28"/>
          <w:szCs w:val="28"/>
        </w:rPr>
        <w:t>•</w:t>
      </w:r>
      <w:r w:rsidRPr="005C1E56">
        <w:rPr>
          <w:rFonts w:ascii="仿宋" w:eastAsia="仿宋" w:hAnsi="仿宋"/>
          <w:sz w:val="28"/>
          <w:szCs w:val="28"/>
        </w:rPr>
        <w:t xml:space="preserve">  </w:t>
      </w:r>
      <w:r w:rsidRPr="005C1E56">
        <w:rPr>
          <w:rFonts w:ascii="仿宋" w:eastAsia="仿宋" w:hAnsi="仿宋" w:hint="eastAsia"/>
          <w:sz w:val="28"/>
          <w:szCs w:val="28"/>
        </w:rPr>
        <w:t>在处方书写、处方和药物调配信息系统的药物选择界面、药物存储地点等任何需要标识的地方为不同制剂增加显著的标识（如：速释，缓释或延长释药）。</w:t>
      </w:r>
    </w:p>
    <w:p w:rsidR="005C1E56" w:rsidRPr="005C1E56" w:rsidRDefault="005C1E56" w:rsidP="005C1E56">
      <w:pPr>
        <w:ind w:firstLineChars="200" w:firstLine="560"/>
        <w:rPr>
          <w:rFonts w:ascii="仿宋" w:eastAsia="仿宋" w:hAnsi="仿宋"/>
          <w:sz w:val="28"/>
          <w:szCs w:val="28"/>
        </w:rPr>
      </w:pPr>
      <w:r w:rsidRPr="005C1E56">
        <w:rPr>
          <w:rFonts w:ascii="仿宋" w:eastAsia="宋体" w:hAnsi="宋体" w:cs="宋体" w:hint="eastAsia"/>
          <w:sz w:val="28"/>
          <w:szCs w:val="28"/>
        </w:rPr>
        <w:t>•</w:t>
      </w:r>
      <w:r w:rsidRPr="005C1E56">
        <w:rPr>
          <w:rFonts w:ascii="仿宋" w:eastAsia="仿宋" w:hAnsi="仿宋"/>
          <w:sz w:val="28"/>
          <w:szCs w:val="28"/>
        </w:rPr>
        <w:t xml:space="preserve">  </w:t>
      </w:r>
      <w:r w:rsidRPr="005C1E56">
        <w:rPr>
          <w:rFonts w:ascii="仿宋" w:eastAsia="仿宋" w:hAnsi="仿宋" w:hint="eastAsia"/>
          <w:sz w:val="28"/>
          <w:szCs w:val="28"/>
        </w:rPr>
        <w:t>开具处方时使用商品名或产品名（见受影响产品表），并在配发他克莫司产品前确认该药物的具体制剂。</w:t>
      </w:r>
    </w:p>
    <w:p w:rsidR="005C1E56" w:rsidRPr="005C1E56" w:rsidRDefault="005C1E56" w:rsidP="005C1E56">
      <w:pPr>
        <w:ind w:firstLineChars="200" w:firstLine="560"/>
        <w:rPr>
          <w:rFonts w:ascii="仿宋" w:eastAsia="仿宋" w:hAnsi="仿宋"/>
          <w:sz w:val="28"/>
          <w:szCs w:val="28"/>
        </w:rPr>
      </w:pPr>
      <w:r w:rsidRPr="005C1E56">
        <w:rPr>
          <w:rFonts w:ascii="仿宋" w:eastAsia="宋体" w:hAnsi="宋体" w:cs="宋体" w:hint="eastAsia"/>
          <w:sz w:val="28"/>
          <w:szCs w:val="28"/>
        </w:rPr>
        <w:t>•</w:t>
      </w:r>
      <w:r w:rsidRPr="005C1E56">
        <w:rPr>
          <w:rFonts w:ascii="仿宋" w:eastAsia="仿宋" w:hAnsi="仿宋"/>
          <w:sz w:val="28"/>
          <w:szCs w:val="28"/>
        </w:rPr>
        <w:t xml:space="preserve">  </w:t>
      </w:r>
      <w:r w:rsidRPr="005C1E56">
        <w:rPr>
          <w:rFonts w:ascii="仿宋" w:eastAsia="仿宋" w:hAnsi="仿宋" w:hint="eastAsia"/>
          <w:sz w:val="28"/>
          <w:szCs w:val="28"/>
        </w:rPr>
        <w:t>考虑电子处方和药品订单输入的自动警报，其中包括这些剂型不可互换的警告，以及剂量频率提醒。</w:t>
      </w:r>
    </w:p>
    <w:p w:rsidR="00944AB8" w:rsidRPr="005C1E56" w:rsidRDefault="005C1E56" w:rsidP="005C1E56">
      <w:pPr>
        <w:ind w:firstLineChars="200" w:firstLine="560"/>
        <w:rPr>
          <w:rFonts w:ascii="仿宋" w:eastAsia="仿宋" w:hAnsi="仿宋"/>
          <w:sz w:val="28"/>
          <w:szCs w:val="28"/>
        </w:rPr>
      </w:pPr>
      <w:r w:rsidRPr="005C1E56">
        <w:rPr>
          <w:rFonts w:ascii="仿宋" w:eastAsia="宋体" w:hAnsi="宋体" w:cs="宋体" w:hint="eastAsia"/>
          <w:sz w:val="28"/>
          <w:szCs w:val="28"/>
        </w:rPr>
        <w:t>•</w:t>
      </w:r>
      <w:r w:rsidRPr="005C1E56">
        <w:rPr>
          <w:rFonts w:ascii="仿宋" w:eastAsia="仿宋" w:hAnsi="仿宋"/>
          <w:sz w:val="28"/>
          <w:szCs w:val="28"/>
        </w:rPr>
        <w:t xml:space="preserve">  </w:t>
      </w:r>
      <w:r w:rsidRPr="005C1E56">
        <w:rPr>
          <w:rFonts w:ascii="仿宋" w:eastAsia="仿宋" w:hAnsi="仿宋" w:hint="eastAsia"/>
          <w:sz w:val="28"/>
          <w:szCs w:val="28"/>
        </w:rPr>
        <w:t>提醒患者当观察到药品外观、剂量、商品名</w:t>
      </w:r>
      <w:r w:rsidRPr="005C1E56">
        <w:rPr>
          <w:rFonts w:ascii="仿宋" w:eastAsia="仿宋" w:hAnsi="仿宋"/>
          <w:sz w:val="28"/>
          <w:szCs w:val="28"/>
        </w:rPr>
        <w:t>/</w:t>
      </w:r>
      <w:r w:rsidRPr="005C1E56">
        <w:rPr>
          <w:rFonts w:ascii="仿宋" w:eastAsia="仿宋" w:hAnsi="仿宋" w:hint="eastAsia"/>
          <w:sz w:val="28"/>
          <w:szCs w:val="28"/>
        </w:rPr>
        <w:t>产品名、或包装发生变化时应与专业医务人员联系说明。</w:t>
      </w:r>
    </w:p>
    <w:p w:rsidR="005C1E56" w:rsidRDefault="005C1E56" w:rsidP="005C1E56">
      <w:pPr>
        <w:jc w:val="center"/>
        <w:rPr>
          <w:rFonts w:ascii="黑体" w:eastAsia="黑体" w:hAnsi="黑体"/>
          <w:sz w:val="36"/>
          <w:szCs w:val="36"/>
        </w:rPr>
      </w:pPr>
      <w:r w:rsidRPr="005C1E56">
        <w:rPr>
          <w:rFonts w:ascii="黑体" w:eastAsia="黑体" w:hAnsi="黑体" w:hint="eastAsia"/>
          <w:sz w:val="36"/>
          <w:szCs w:val="36"/>
        </w:rPr>
        <w:lastRenderedPageBreak/>
        <w:t>英国警示GLP-1受体激动剂与胰岛素联用</w:t>
      </w:r>
    </w:p>
    <w:p w:rsidR="005C1E56" w:rsidRPr="005C1E56" w:rsidRDefault="005C1E56" w:rsidP="005C1E56">
      <w:pPr>
        <w:jc w:val="center"/>
        <w:rPr>
          <w:rFonts w:ascii="黑体" w:eastAsia="黑体" w:hAnsi="黑体"/>
          <w:sz w:val="36"/>
          <w:szCs w:val="36"/>
        </w:rPr>
      </w:pPr>
      <w:r w:rsidRPr="005C1E56">
        <w:rPr>
          <w:rFonts w:ascii="黑体" w:eastAsia="黑体" w:hAnsi="黑体" w:hint="eastAsia"/>
          <w:sz w:val="36"/>
          <w:szCs w:val="36"/>
        </w:rPr>
        <w:t>致糖尿病酮症酸中毒风险</w:t>
      </w:r>
    </w:p>
    <w:p w:rsidR="005C1E56" w:rsidRPr="005C1E56" w:rsidRDefault="005C1E56" w:rsidP="005C1E56">
      <w:pPr>
        <w:ind w:firstLineChars="250" w:firstLine="700"/>
        <w:rPr>
          <w:rFonts w:ascii="仿宋" w:eastAsia="仿宋" w:hAnsi="仿宋"/>
          <w:sz w:val="28"/>
          <w:szCs w:val="28"/>
        </w:rPr>
      </w:pPr>
      <w:r w:rsidRPr="005C1E56">
        <w:rPr>
          <w:rFonts w:ascii="仿宋" w:eastAsia="仿宋" w:hAnsi="仿宋" w:hint="eastAsia"/>
          <w:sz w:val="28"/>
          <w:szCs w:val="28"/>
        </w:rPr>
        <w:t>2019年6月，英国药品和健康产品管理局（MHRA）发布信息称，在胰高血糖素样肽-1（GLP-1）与胰岛素联合使用治疗2型糖尿病患者过程中，当联用的胰岛素剂量迅速降低或停药时，可能导致糖尿病酮症酸中毒风险。GLP-1受体激动剂并非胰岛素替代药品，胰岛素的任何减量应采用阶梯方式，并谨慎自我监测血糖。胰岛素突然停药或减量可导致血糖控制不良，并伴随糖尿病酮症酸中毒风险。</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艾塞那肽（Exenatide）、利拉鲁肽（liraglutide，包括含胰岛素复方产品）和度拉糖肽（dulaglutide）是GLP-1受体激动剂（也称为GLP-1模拟疗法），上市用于治疗成人2型糖尿病，以改善血糖控制；但Saxenda（含利拉鲁肽的一种减肥产品）除外，其适用于体重控制。GLP-1受体激动剂以葡萄糖依赖性方式刺激胰腺的胰岛素分泌，并减缓胃排空和抑制胰高血糖素分泌，从而发挥其降糖作用，但GLP-1受体激动剂非胰岛素的替代药品。</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截至2019年5月底，MHRA的黄卡计划已收到26例关于糖尿病酮症酸中毒报告。其中，10例报告患者使用艾塞那肽、利拉鲁肽和度拉糖肽后，出现酮体生成相关反应（如血酮体升高、酮尿）。与之对应，2007年至2018年间，英国这3种药物的估计暴露量约为200万患者-年。在约1/3的英国病例报告中，启动GLP-1受体激动剂治疗时胰岛素停药或迅速减</w:t>
      </w:r>
      <w:r>
        <w:rPr>
          <w:rFonts w:ascii="仿宋" w:eastAsia="仿宋" w:hAnsi="仿宋" w:hint="eastAsia"/>
          <w:sz w:val="28"/>
          <w:szCs w:val="28"/>
        </w:rPr>
        <w:t>量。在其余病例中，由于存在糖尿病酮症酸中毒其他可能性诱发因素（</w:t>
      </w:r>
      <w:r w:rsidRPr="005C1E56">
        <w:rPr>
          <w:rFonts w:ascii="仿宋" w:eastAsia="仿宋" w:hAnsi="仿宋" w:hint="eastAsia"/>
          <w:sz w:val="28"/>
          <w:szCs w:val="28"/>
        </w:rPr>
        <w:t>如其他药物或原患疾病影响），很难确定</w:t>
      </w:r>
      <w:r w:rsidRPr="005C1E56">
        <w:rPr>
          <w:rFonts w:ascii="仿宋" w:eastAsia="仿宋" w:hAnsi="仿宋" w:hint="eastAsia"/>
          <w:sz w:val="28"/>
          <w:szCs w:val="28"/>
        </w:rPr>
        <w:lastRenderedPageBreak/>
        <w:t>这些药物与糖尿病酮症酸中毒的关联性。已有与艾塞那肽、利拉鲁肽和度拉糖肽相关的严重且危及生命的糖尿病酮症酸中毒病例报告，尤其是在联用的胰岛素迅速减量或停药后。欧盟一项对以上报告的评估得出结论，这些病例可归因于胰岛素突然停药或减量的同时启动了GLP-1受体激动剂治疗，导致血糖控制不良。该评估未将正常血糖性糖尿病酮症酸中毒确认为GLP-1</w:t>
      </w:r>
      <w:r>
        <w:rPr>
          <w:rFonts w:ascii="仿宋" w:eastAsia="仿宋" w:hAnsi="仿宋" w:hint="eastAsia"/>
          <w:sz w:val="28"/>
          <w:szCs w:val="28"/>
        </w:rPr>
        <w:t>受体激动剂治疗的特异性安全性风险。该评估中一些病例，报告</w:t>
      </w:r>
      <w:r w:rsidRPr="005C1E56">
        <w:rPr>
          <w:rFonts w:ascii="仿宋" w:eastAsia="仿宋" w:hAnsi="仿宋" w:hint="eastAsia"/>
          <w:sz w:val="28"/>
          <w:szCs w:val="28"/>
        </w:rPr>
        <w:t>提示为正常血糖性糖尿病酮症酸中毒的反应；然而，这些均归因于同时使用钠-葡萄糖共转运蛋白-2抑制剂（SGLT2）药物，已知这些药品与正常血糖性糖尿病酮症酸中毒有关。</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当GLP-1受体激动剂治疗添加至现有胰岛素治疗中时，可考虑减少胰岛素剂量以降低患者低血糖风险。考虑到每位患者的血糖水平和胰岛素个体化需求，建议对胰岛素剂量调整采用阶梯式方法。尽管恶心和呕吐可被视为GLP-1受体激动剂的不良反应，但这些也是已知的糖尿病酮症酸中毒症状，在启动GLP-1受体激动剂治疗和调整胰岛素剂量时应谨慎对待。许多糖尿病酮症酸中毒及相关反应病例发生于启动GLP-1受体激动剂治疗后2周内，恶心和呕吐通常是共同报告的反应。应告知患者糖尿病酮症酸中毒的症状和体征（恶心、呕吐、腹痛、过度口渴、排尿频率增加、呼吸困难、意识模糊、异常疲乏或嗜睡）以及出现这些症状和体征时需紧急就医。</w:t>
      </w:r>
    </w:p>
    <w:p w:rsidR="005C1E56" w:rsidRPr="005C1E56" w:rsidRDefault="005C1E56" w:rsidP="005C1E56">
      <w:pPr>
        <w:ind w:firstLineChars="250" w:firstLine="700"/>
        <w:rPr>
          <w:rFonts w:ascii="仿宋" w:eastAsia="仿宋" w:hAnsi="仿宋"/>
          <w:sz w:val="28"/>
          <w:szCs w:val="28"/>
        </w:rPr>
      </w:pPr>
      <w:r w:rsidRPr="005C1E56">
        <w:rPr>
          <w:rFonts w:ascii="仿宋" w:eastAsia="仿宋" w:hAnsi="仿宋" w:hint="eastAsia"/>
          <w:sz w:val="28"/>
          <w:szCs w:val="28"/>
        </w:rPr>
        <w:t>MHRA正在对艾塞那肽、利拉鲁肽和度拉糖肽的产品特征性概要和患者信息说明书进行更新，以提示对胰岛素减量推荐采用阶梯式方法，并建议在调整胰岛素剂量时必须进行血糖自我监测，尤其是在启</w:t>
      </w:r>
      <w:r w:rsidRPr="005C1E56">
        <w:rPr>
          <w:rFonts w:ascii="仿宋" w:eastAsia="仿宋" w:hAnsi="仿宋" w:hint="eastAsia"/>
          <w:sz w:val="28"/>
          <w:szCs w:val="28"/>
        </w:rPr>
        <w:lastRenderedPageBreak/>
        <w:t>动GLP-1受体激动剂治疗期间。</w:t>
      </w:r>
    </w:p>
    <w:p w:rsidR="005C1E56" w:rsidRPr="005C1E56" w:rsidRDefault="005C1E56" w:rsidP="005C1E56">
      <w:pPr>
        <w:ind w:firstLineChars="250" w:firstLine="700"/>
        <w:rPr>
          <w:rFonts w:ascii="仿宋" w:eastAsia="仿宋" w:hAnsi="仿宋"/>
          <w:sz w:val="28"/>
          <w:szCs w:val="28"/>
        </w:rPr>
      </w:pPr>
      <w:r w:rsidRPr="005C1E56">
        <w:rPr>
          <w:rFonts w:ascii="仿宋" w:eastAsia="仿宋" w:hAnsi="仿宋" w:hint="eastAsia"/>
          <w:sz w:val="28"/>
          <w:szCs w:val="28"/>
        </w:rPr>
        <w:t>GLP-1受体激动剂利司那肽（lixisenatide）和司美鲁肽（semaglutide）也在英国上市使用，但二者不涉及本次欧盟审查。在发布本信息时，MHRA在英国境内尚未收到任何与利司那肽和司美鲁肽有关的糖尿病酮症酸中毒的报告。然而，不能排除二者当胰岛素剂量改变时致糖尿病酮症酸中毒的理论风险。</w:t>
      </w:r>
    </w:p>
    <w:p w:rsidR="005C1E56" w:rsidRPr="005C1E56" w:rsidRDefault="005C1E56" w:rsidP="005C1E56">
      <w:pPr>
        <w:rPr>
          <w:rFonts w:ascii="仿宋" w:eastAsia="仿宋" w:hAnsi="仿宋"/>
          <w:sz w:val="28"/>
          <w:szCs w:val="28"/>
        </w:rPr>
      </w:pPr>
      <w:r w:rsidRPr="005C1E56">
        <w:rPr>
          <w:rFonts w:ascii="仿宋" w:eastAsia="仿宋" w:hAnsi="仿宋" w:hint="eastAsia"/>
          <w:sz w:val="28"/>
          <w:szCs w:val="28"/>
        </w:rPr>
        <w:t>对医务人员的建议：</w:t>
      </w:r>
    </w:p>
    <w:p w:rsidR="005C1E56" w:rsidRPr="005C1E56" w:rsidRDefault="005C1E56" w:rsidP="005C1E56">
      <w:pPr>
        <w:rPr>
          <w:rFonts w:ascii="仿宋" w:eastAsia="仿宋" w:hAnsi="仿宋"/>
          <w:sz w:val="28"/>
          <w:szCs w:val="28"/>
        </w:rPr>
      </w:pPr>
      <w:r w:rsidRPr="005C1E56">
        <w:rPr>
          <w:rFonts w:ascii="仿宋" w:eastAsia="宋体" w:hAnsi="宋体" w:cs="宋体" w:hint="eastAsia"/>
          <w:sz w:val="28"/>
          <w:szCs w:val="28"/>
        </w:rPr>
        <w:t>•</w:t>
      </w:r>
      <w:r w:rsidRPr="005C1E56">
        <w:rPr>
          <w:rFonts w:ascii="仿宋" w:eastAsia="仿宋" w:hAnsi="仿宋"/>
          <w:sz w:val="28"/>
          <w:szCs w:val="28"/>
        </w:rPr>
        <w:t xml:space="preserve">    </w:t>
      </w:r>
      <w:r w:rsidRPr="005C1E56">
        <w:rPr>
          <w:rFonts w:ascii="仿宋" w:eastAsia="仿宋" w:hAnsi="仿宋" w:hint="eastAsia"/>
          <w:sz w:val="28"/>
          <w:szCs w:val="28"/>
        </w:rPr>
        <w:t>已有与艾塞那肽、利拉鲁肽和度拉糖肽相关的严重且危及生命的糖尿病酮症酸中毒病例报告，尤其是在联用的胰岛素停药或迅速减量后。</w:t>
      </w:r>
    </w:p>
    <w:p w:rsidR="005C1E56" w:rsidRPr="005C1E56" w:rsidRDefault="005C1E56" w:rsidP="005C1E56">
      <w:pPr>
        <w:rPr>
          <w:rFonts w:ascii="仿宋" w:eastAsia="仿宋" w:hAnsi="仿宋"/>
          <w:sz w:val="28"/>
          <w:szCs w:val="28"/>
        </w:rPr>
      </w:pPr>
      <w:r w:rsidRPr="005C1E56">
        <w:rPr>
          <w:rFonts w:ascii="仿宋" w:eastAsia="宋体" w:hAnsi="宋体" w:cs="宋体" w:hint="eastAsia"/>
          <w:sz w:val="28"/>
          <w:szCs w:val="28"/>
        </w:rPr>
        <w:t>•</w:t>
      </w:r>
      <w:r w:rsidRPr="005C1E56">
        <w:rPr>
          <w:rFonts w:ascii="仿宋" w:eastAsia="仿宋" w:hAnsi="仿宋"/>
          <w:sz w:val="28"/>
          <w:szCs w:val="28"/>
        </w:rPr>
        <w:t xml:space="preserve">    </w:t>
      </w:r>
      <w:r w:rsidRPr="005C1E56">
        <w:rPr>
          <w:rFonts w:ascii="仿宋" w:eastAsia="仿宋" w:hAnsi="仿宋" w:hint="eastAsia"/>
          <w:sz w:val="28"/>
          <w:szCs w:val="28"/>
        </w:rPr>
        <w:t>调整胰岛素剂量时，必须自我监测血糖，尤其是当启动</w:t>
      </w:r>
      <w:r w:rsidRPr="005C1E56">
        <w:rPr>
          <w:rFonts w:ascii="仿宋" w:eastAsia="仿宋" w:hAnsi="仿宋"/>
          <w:sz w:val="28"/>
          <w:szCs w:val="28"/>
        </w:rPr>
        <w:t>GLP-1</w:t>
      </w:r>
      <w:r w:rsidRPr="005C1E56">
        <w:rPr>
          <w:rFonts w:ascii="仿宋" w:eastAsia="仿宋" w:hAnsi="仿宋" w:hint="eastAsia"/>
          <w:sz w:val="28"/>
          <w:szCs w:val="28"/>
        </w:rPr>
        <w:t>受体激动剂治疗且减少胰岛素剂量时。</w:t>
      </w:r>
    </w:p>
    <w:p w:rsidR="005C1E56" w:rsidRPr="005C1E56" w:rsidRDefault="005C1E56" w:rsidP="005C1E56">
      <w:pPr>
        <w:rPr>
          <w:rFonts w:ascii="仿宋" w:eastAsia="仿宋" w:hAnsi="仿宋"/>
          <w:sz w:val="28"/>
          <w:szCs w:val="28"/>
        </w:rPr>
      </w:pPr>
      <w:r w:rsidRPr="005C1E56">
        <w:rPr>
          <w:rFonts w:ascii="仿宋" w:eastAsia="宋体" w:hAnsi="宋体" w:cs="宋体" w:hint="eastAsia"/>
          <w:sz w:val="28"/>
          <w:szCs w:val="28"/>
        </w:rPr>
        <w:t>•</w:t>
      </w:r>
      <w:r w:rsidRPr="005C1E56">
        <w:rPr>
          <w:rFonts w:ascii="仿宋" w:eastAsia="仿宋" w:hAnsi="仿宋"/>
          <w:sz w:val="28"/>
          <w:szCs w:val="28"/>
        </w:rPr>
        <w:t xml:space="preserve">    </w:t>
      </w:r>
      <w:r w:rsidRPr="005C1E56">
        <w:rPr>
          <w:rFonts w:ascii="仿宋" w:eastAsia="仿宋" w:hAnsi="仿宋" w:hint="eastAsia"/>
          <w:sz w:val="28"/>
          <w:szCs w:val="28"/>
        </w:rPr>
        <w:t>如果降低胰岛素剂量，建议采用阶梯式方法。</w:t>
      </w:r>
    </w:p>
    <w:p w:rsidR="005C1E56" w:rsidRPr="005C1E56" w:rsidRDefault="005C1E56" w:rsidP="005C1E56">
      <w:pPr>
        <w:rPr>
          <w:rFonts w:ascii="仿宋" w:eastAsia="仿宋" w:hAnsi="仿宋"/>
          <w:sz w:val="28"/>
          <w:szCs w:val="28"/>
        </w:rPr>
      </w:pPr>
      <w:r w:rsidRPr="005C1E56">
        <w:rPr>
          <w:rFonts w:ascii="仿宋" w:eastAsia="宋体" w:hAnsi="宋体" w:cs="宋体" w:hint="eastAsia"/>
          <w:sz w:val="28"/>
          <w:szCs w:val="28"/>
        </w:rPr>
        <w:t>•</w:t>
      </w:r>
      <w:r w:rsidRPr="005C1E56">
        <w:rPr>
          <w:rFonts w:ascii="仿宋" w:eastAsia="仿宋" w:hAnsi="仿宋"/>
          <w:sz w:val="28"/>
          <w:szCs w:val="28"/>
        </w:rPr>
        <w:t xml:space="preserve">    </w:t>
      </w:r>
      <w:r w:rsidRPr="005C1E56">
        <w:rPr>
          <w:rFonts w:ascii="仿宋" w:eastAsia="仿宋" w:hAnsi="仿宋" w:hint="eastAsia"/>
          <w:sz w:val="28"/>
          <w:szCs w:val="28"/>
        </w:rPr>
        <w:t>与患者讨论糖尿病酮症酸中毒的风险因素以及体征和症状，并建议他们出现上述情况时立即就医。</w:t>
      </w:r>
    </w:p>
    <w:p w:rsidR="009E755C" w:rsidRPr="00944AB8" w:rsidRDefault="005C1E56" w:rsidP="00996AFC">
      <w:pPr>
        <w:jc w:val="right"/>
        <w:rPr>
          <w:rFonts w:ascii="仿宋" w:eastAsia="仿宋" w:hAnsi="仿宋"/>
          <w:sz w:val="28"/>
          <w:szCs w:val="28"/>
        </w:rPr>
        <w:sectPr w:rsidR="009E755C" w:rsidRPr="00944AB8">
          <w:pgSz w:w="11906" w:h="16838"/>
          <w:pgMar w:top="1440" w:right="1800" w:bottom="1440" w:left="1800" w:header="851" w:footer="992" w:gutter="0"/>
          <w:cols w:space="425"/>
          <w:docGrid w:type="lines" w:linePitch="312"/>
        </w:sectPr>
      </w:pPr>
      <w:r w:rsidRPr="005C1E56">
        <w:rPr>
          <w:rFonts w:ascii="仿宋" w:eastAsia="仿宋" w:hAnsi="仿宋" w:hint="eastAsia"/>
          <w:sz w:val="28"/>
          <w:szCs w:val="28"/>
        </w:rPr>
        <w:t>（英国MHRA网站）</w:t>
      </w:r>
    </w:p>
    <w:p w:rsidR="00DE46E9" w:rsidRPr="005C1E56" w:rsidRDefault="00DE46E9" w:rsidP="00DE46E9">
      <w:pPr>
        <w:rPr>
          <w:szCs w:val="32"/>
        </w:rPr>
      </w:pPr>
      <w:r w:rsidRPr="005C1E56">
        <w:rPr>
          <w:rFonts w:hint="eastAsia"/>
          <w:szCs w:val="32"/>
        </w:rPr>
        <w:lastRenderedPageBreak/>
        <w:t>【合理用药】</w:t>
      </w:r>
    </w:p>
    <w:p w:rsidR="00996AFC" w:rsidRPr="004758C9" w:rsidRDefault="00996AFC" w:rsidP="00996AFC">
      <w:pPr>
        <w:widowControl/>
        <w:spacing w:after="240"/>
        <w:jc w:val="center"/>
        <w:rPr>
          <w:rFonts w:ascii="宋体" w:hAnsi="宋体" w:cs="宋体"/>
          <w:b/>
          <w:kern w:val="0"/>
          <w:sz w:val="44"/>
          <w:szCs w:val="44"/>
        </w:rPr>
      </w:pPr>
      <w:r>
        <w:rPr>
          <w:rFonts w:ascii="宋体" w:hAnsi="宋体" w:cs="宋体"/>
          <w:b/>
          <w:noProof/>
          <w:kern w:val="0"/>
          <w:sz w:val="44"/>
          <w:szCs w:val="44"/>
        </w:rPr>
        <w:drawing>
          <wp:anchor distT="0" distB="0" distL="114300" distR="114300" simplePos="0" relativeHeight="251660288" behindDoc="1" locked="0" layoutInCell="1" allowOverlap="0">
            <wp:simplePos x="0" y="0"/>
            <wp:positionH relativeFrom="column">
              <wp:posOffset>0</wp:posOffset>
            </wp:positionH>
            <wp:positionV relativeFrom="paragraph">
              <wp:posOffset>-594360</wp:posOffset>
            </wp:positionV>
            <wp:extent cx="1669415" cy="1981200"/>
            <wp:effectExtent l="19050" t="0" r="6985" b="0"/>
            <wp:wrapTight wrapText="bothSides">
              <wp:wrapPolygon edited="0">
                <wp:start x="-246" y="0"/>
                <wp:lineTo x="-246" y="21392"/>
                <wp:lineTo x="21690" y="21392"/>
                <wp:lineTo x="21690" y="0"/>
                <wp:lineTo x="-246"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9" cstate="print"/>
                    <a:srcRect/>
                    <a:stretch>
                      <a:fillRect/>
                    </a:stretch>
                  </pic:blipFill>
                  <pic:spPr bwMode="auto">
                    <a:xfrm>
                      <a:off x="0" y="0"/>
                      <a:ext cx="1669415" cy="1981200"/>
                    </a:xfrm>
                    <a:prstGeom prst="rect">
                      <a:avLst/>
                    </a:prstGeom>
                    <a:solidFill>
                      <a:srgbClr val="3366FF"/>
                    </a:solidFill>
                    <a:ln w="9525">
                      <a:noFill/>
                      <a:miter lim="800000"/>
                      <a:headEnd/>
                      <a:tailEnd/>
                    </a:ln>
                    <a:effectLst/>
                  </pic:spPr>
                </pic:pic>
              </a:graphicData>
            </a:graphic>
          </wp:anchor>
        </w:drawing>
      </w:r>
      <w:r w:rsidRPr="004758C9">
        <w:rPr>
          <w:rFonts w:ascii="宋体" w:hAnsi="宋体" w:cs="宋体"/>
          <w:b/>
          <w:kern w:val="0"/>
          <w:sz w:val="44"/>
          <w:szCs w:val="44"/>
        </w:rPr>
        <w:t>胃药何时服最佳</w:t>
      </w:r>
    </w:p>
    <w:p w:rsidR="00996AFC" w:rsidRPr="00996AFC" w:rsidRDefault="00996AFC" w:rsidP="00996AFC">
      <w:pPr>
        <w:widowControl/>
        <w:spacing w:line="360" w:lineRule="exact"/>
        <w:jc w:val="left"/>
        <w:rPr>
          <w:rFonts w:ascii="仿宋" w:eastAsia="仿宋" w:hAnsi="仿宋" w:cs="宋体"/>
          <w:kern w:val="0"/>
          <w:sz w:val="28"/>
          <w:szCs w:val="28"/>
        </w:rPr>
      </w:pPr>
      <w:r w:rsidRPr="001628D2">
        <w:rPr>
          <w:rFonts w:ascii="宋体" w:hAnsi="宋体" w:cs="宋体"/>
          <w:kern w:val="0"/>
          <w:sz w:val="24"/>
        </w:rPr>
        <w:t xml:space="preserve">　　</w:t>
      </w:r>
      <w:r w:rsidRPr="00996AFC">
        <w:rPr>
          <w:rFonts w:ascii="仿宋" w:eastAsia="仿宋" w:hAnsi="仿宋" w:cs="宋体"/>
          <w:kern w:val="0"/>
          <w:sz w:val="28"/>
          <w:szCs w:val="28"/>
        </w:rPr>
        <w:t>服药与进食的时间关系，可分餐前、餐后、餐时（餐中）及餐间（两餐间隔时间的中点）四点。除有特别注明外，餐前及餐后均为半小时服药。</w:t>
      </w:r>
    </w:p>
    <w:p w:rsidR="00996AFC" w:rsidRPr="00996AFC" w:rsidRDefault="00996AFC" w:rsidP="00996AFC">
      <w:pPr>
        <w:widowControl/>
        <w:spacing w:line="360" w:lineRule="exact"/>
        <w:jc w:val="left"/>
        <w:rPr>
          <w:rFonts w:ascii="仿宋" w:eastAsia="仿宋" w:hAnsi="仿宋" w:cs="宋体"/>
          <w:kern w:val="0"/>
          <w:sz w:val="28"/>
          <w:szCs w:val="28"/>
        </w:rPr>
      </w:pPr>
      <w:r w:rsidRPr="00996AFC">
        <w:rPr>
          <w:rFonts w:ascii="仿宋" w:eastAsia="仿宋" w:hAnsi="仿宋" w:cs="宋体"/>
          <w:kern w:val="0"/>
          <w:sz w:val="28"/>
          <w:szCs w:val="28"/>
        </w:rPr>
        <w:t xml:space="preserve">　</w:t>
      </w:r>
      <w:r w:rsidRPr="00996AFC">
        <w:rPr>
          <w:rFonts w:ascii="仿宋" w:eastAsia="仿宋" w:hAnsi="仿宋" w:cs="宋体"/>
          <w:noProof/>
          <w:kern w:val="0"/>
          <w:sz w:val="28"/>
          <w:szCs w:val="28"/>
        </w:rPr>
        <w:drawing>
          <wp:inline distT="0" distB="0" distL="0" distR="0">
            <wp:extent cx="254635" cy="209550"/>
            <wp:effectExtent l="19050" t="0" r="0" b="0"/>
            <wp:docPr id="7" name="图片 7" descr="j0305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305493"/>
                    <pic:cNvPicPr>
                      <a:picLocks noChangeAspect="1" noChangeArrowheads="1"/>
                    </pic:cNvPicPr>
                  </pic:nvPicPr>
                  <pic:blipFill>
                    <a:blip r:embed="rId10" cstate="print"/>
                    <a:srcRect/>
                    <a:stretch>
                      <a:fillRect/>
                    </a:stretch>
                  </pic:blipFill>
                  <pic:spPr bwMode="auto">
                    <a:xfrm>
                      <a:off x="0" y="0"/>
                      <a:ext cx="254635" cy="209550"/>
                    </a:xfrm>
                    <a:prstGeom prst="rect">
                      <a:avLst/>
                    </a:prstGeom>
                    <a:noFill/>
                  </pic:spPr>
                </pic:pic>
              </a:graphicData>
            </a:graphic>
          </wp:inline>
        </w:drawing>
      </w:r>
      <w:r w:rsidRPr="00996AFC">
        <w:rPr>
          <w:rFonts w:ascii="仿宋" w:eastAsia="仿宋" w:hAnsi="仿宋" w:cs="宋体"/>
          <w:kern w:val="0"/>
          <w:sz w:val="28"/>
          <w:szCs w:val="28"/>
        </w:rPr>
        <w:t>抗酸药</w:t>
      </w:r>
      <w:r w:rsidRPr="00996AFC">
        <w:rPr>
          <w:rFonts w:ascii="仿宋" w:eastAsia="仿宋" w:hAnsi="仿宋" w:cs="宋体" w:hint="eastAsia"/>
          <w:kern w:val="0"/>
          <w:sz w:val="28"/>
          <w:szCs w:val="28"/>
        </w:rPr>
        <w:t xml:space="preserve">  </w:t>
      </w:r>
      <w:r w:rsidRPr="00996AFC">
        <w:rPr>
          <w:rFonts w:ascii="仿宋" w:eastAsia="仿宋" w:hAnsi="仿宋" w:cs="宋体"/>
          <w:kern w:val="0"/>
          <w:sz w:val="28"/>
          <w:szCs w:val="28"/>
        </w:rPr>
        <w:t>本类药物多为弱碱性无机盐，如氢氧化铝、氧化镁、三硅酸镁、碳酸钙等及它们的复方制剂，主要作用为直接中和胃酸，可迅速缓解胃痛。因一定浓度的胃酸为食物在胃内进行消化作用所必需，胃病患者服用抗酸药旨在中和过多的胃酸，因而宜待胃内容物将近排空时再充分发挥药物的抗酸作用，故餐后1～1.5小时及临睡前服用最佳。复方制剂和胃得乐、胃速乐等需按规定嚼碎服用。由于抗酸药作用时间较短暂，副作用较多，总体疗效欠理想，近年已很少应用。</w:t>
      </w:r>
    </w:p>
    <w:p w:rsidR="00996AFC" w:rsidRPr="00996AFC" w:rsidRDefault="00996AFC" w:rsidP="00996AFC">
      <w:pPr>
        <w:widowControl/>
        <w:spacing w:line="360" w:lineRule="exact"/>
        <w:jc w:val="left"/>
        <w:rPr>
          <w:rFonts w:ascii="仿宋" w:eastAsia="仿宋" w:hAnsi="仿宋" w:cs="宋体"/>
          <w:kern w:val="0"/>
          <w:sz w:val="28"/>
          <w:szCs w:val="28"/>
        </w:rPr>
      </w:pPr>
      <w:r w:rsidRPr="00996AFC">
        <w:rPr>
          <w:rFonts w:ascii="仿宋" w:eastAsia="仿宋" w:hAnsi="仿宋" w:cs="宋体"/>
          <w:kern w:val="0"/>
          <w:sz w:val="28"/>
          <w:szCs w:val="28"/>
        </w:rPr>
        <w:t xml:space="preserve">　　</w:t>
      </w:r>
      <w:r w:rsidRPr="00996AFC">
        <w:rPr>
          <w:rFonts w:ascii="仿宋" w:eastAsia="仿宋" w:hAnsi="仿宋" w:cs="宋体"/>
          <w:noProof/>
          <w:kern w:val="0"/>
          <w:sz w:val="28"/>
          <w:szCs w:val="28"/>
        </w:rPr>
        <w:drawing>
          <wp:inline distT="0" distB="0" distL="0" distR="0">
            <wp:extent cx="254635" cy="209550"/>
            <wp:effectExtent l="19050" t="0" r="0" b="0"/>
            <wp:docPr id="1" name="图片 6" descr="j0305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305493"/>
                    <pic:cNvPicPr>
                      <a:picLocks noChangeAspect="1" noChangeArrowheads="1"/>
                    </pic:cNvPicPr>
                  </pic:nvPicPr>
                  <pic:blipFill>
                    <a:blip r:embed="rId10" cstate="print"/>
                    <a:srcRect/>
                    <a:stretch>
                      <a:fillRect/>
                    </a:stretch>
                  </pic:blipFill>
                  <pic:spPr bwMode="auto">
                    <a:xfrm>
                      <a:off x="0" y="0"/>
                      <a:ext cx="254635" cy="209550"/>
                    </a:xfrm>
                    <a:prstGeom prst="rect">
                      <a:avLst/>
                    </a:prstGeom>
                    <a:noFill/>
                  </pic:spPr>
                </pic:pic>
              </a:graphicData>
            </a:graphic>
          </wp:inline>
        </w:drawing>
      </w:r>
      <w:r w:rsidRPr="00996AFC">
        <w:rPr>
          <w:rFonts w:ascii="仿宋" w:eastAsia="仿宋" w:hAnsi="仿宋" w:cs="宋体"/>
          <w:kern w:val="0"/>
          <w:sz w:val="28"/>
          <w:szCs w:val="28"/>
        </w:rPr>
        <w:t>抑酸药</w:t>
      </w:r>
      <w:r w:rsidRPr="00996AFC">
        <w:rPr>
          <w:rFonts w:ascii="仿宋" w:eastAsia="仿宋" w:hAnsi="仿宋" w:cs="宋体" w:hint="eastAsia"/>
          <w:kern w:val="0"/>
          <w:sz w:val="28"/>
          <w:szCs w:val="28"/>
        </w:rPr>
        <w:t xml:space="preserve">  </w:t>
      </w:r>
      <w:r w:rsidRPr="00996AFC">
        <w:rPr>
          <w:rFonts w:ascii="仿宋" w:eastAsia="仿宋" w:hAnsi="仿宋" w:cs="宋体"/>
          <w:kern w:val="0"/>
          <w:sz w:val="28"/>
          <w:szCs w:val="28"/>
        </w:rPr>
        <w:t>此类药物降低胃酸的机制不是直接中和作用，而是吸收后作用于胃的泌酸细胞（壁细胞），抑制胃酸分泌。因此虽作用不如抗酸药快捷，但作用时间长，副作用少，胃酸降低明显，因而疗效突出，为胃病治疗的主要药物。较早应用于临床者为H</w:t>
      </w:r>
      <w:r w:rsidRPr="00996AFC">
        <w:rPr>
          <w:rFonts w:ascii="仿宋" w:eastAsia="仿宋" w:hAnsi="仿宋" w:cs="宋体"/>
          <w:kern w:val="0"/>
          <w:sz w:val="28"/>
          <w:szCs w:val="28"/>
          <w:vertAlign w:val="subscript"/>
        </w:rPr>
        <w:t>2</w:t>
      </w:r>
      <w:r w:rsidRPr="00996AFC">
        <w:rPr>
          <w:rFonts w:ascii="仿宋" w:eastAsia="仿宋" w:hAnsi="仿宋" w:cs="宋体"/>
          <w:kern w:val="0"/>
          <w:sz w:val="28"/>
          <w:szCs w:val="28"/>
        </w:rPr>
        <w:t>受体阻断剂，有西咪替丁（甲氰咪胍、泰胃美）、雷尼替丁、法莫替丁、尼扎替丁等，这些药物对胃黏膜多无明显刺激性，吸收利用基本上不受胃内容物的影响，一般规定在餐后服用，但在餐前或餐时服用也无妨。质子泵抑制剂因问世较晚，抑酸作用更强大而持久，疗效更突出，先后有奥美拉唑（洛赛克、奥克）、</w:t>
      </w:r>
      <w:r w:rsidRPr="00996AFC">
        <w:rPr>
          <w:rFonts w:ascii="仿宋" w:eastAsia="仿宋" w:hAnsi="仿宋" w:cs="宋体" w:hint="eastAsia"/>
          <w:kern w:val="0"/>
          <w:sz w:val="28"/>
          <w:szCs w:val="28"/>
        </w:rPr>
        <w:t>兰</w:t>
      </w:r>
      <w:r w:rsidRPr="00996AFC">
        <w:rPr>
          <w:rFonts w:ascii="仿宋" w:eastAsia="仿宋" w:hAnsi="仿宋" w:cs="宋体"/>
          <w:kern w:val="0"/>
          <w:sz w:val="28"/>
          <w:szCs w:val="28"/>
        </w:rPr>
        <w:t>索拉唑、泮托拉唑、雷贝拉唑（波利特）及埃索美拉唑等。由于这些药物的吸收利用多受到胃内食物的干扰，故在餐前空腹状态下服用为佳。</w:t>
      </w:r>
    </w:p>
    <w:p w:rsidR="00996AFC" w:rsidRPr="00996AFC" w:rsidRDefault="00996AFC" w:rsidP="00996AFC">
      <w:pPr>
        <w:widowControl/>
        <w:spacing w:line="360" w:lineRule="exact"/>
        <w:jc w:val="left"/>
        <w:rPr>
          <w:rFonts w:ascii="仿宋" w:eastAsia="仿宋" w:hAnsi="仿宋" w:cs="宋体"/>
          <w:kern w:val="0"/>
          <w:sz w:val="28"/>
          <w:szCs w:val="28"/>
        </w:rPr>
      </w:pPr>
      <w:r w:rsidRPr="00996AFC">
        <w:rPr>
          <w:rFonts w:ascii="仿宋" w:eastAsia="仿宋" w:hAnsi="仿宋" w:cs="宋体"/>
          <w:kern w:val="0"/>
          <w:sz w:val="28"/>
          <w:szCs w:val="28"/>
        </w:rPr>
        <w:t xml:space="preserve">　　</w:t>
      </w:r>
      <w:r w:rsidRPr="00996AFC">
        <w:rPr>
          <w:rFonts w:ascii="仿宋" w:eastAsia="仿宋" w:hAnsi="仿宋" w:cs="宋体"/>
          <w:noProof/>
          <w:kern w:val="0"/>
          <w:sz w:val="28"/>
          <w:szCs w:val="28"/>
        </w:rPr>
        <w:drawing>
          <wp:inline distT="0" distB="0" distL="0" distR="0">
            <wp:extent cx="254635" cy="209550"/>
            <wp:effectExtent l="19050" t="0" r="0" b="0"/>
            <wp:docPr id="5" name="图片 5" descr="j0305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305493"/>
                    <pic:cNvPicPr>
                      <a:picLocks noChangeAspect="1" noChangeArrowheads="1"/>
                    </pic:cNvPicPr>
                  </pic:nvPicPr>
                  <pic:blipFill>
                    <a:blip r:embed="rId10" cstate="print"/>
                    <a:srcRect/>
                    <a:stretch>
                      <a:fillRect/>
                    </a:stretch>
                  </pic:blipFill>
                  <pic:spPr bwMode="auto">
                    <a:xfrm>
                      <a:off x="0" y="0"/>
                      <a:ext cx="254635" cy="209550"/>
                    </a:xfrm>
                    <a:prstGeom prst="rect">
                      <a:avLst/>
                    </a:prstGeom>
                    <a:noFill/>
                  </pic:spPr>
                </pic:pic>
              </a:graphicData>
            </a:graphic>
          </wp:inline>
        </w:drawing>
      </w:r>
      <w:r w:rsidRPr="00996AFC">
        <w:rPr>
          <w:rFonts w:ascii="仿宋" w:eastAsia="仿宋" w:hAnsi="仿宋" w:cs="宋体"/>
          <w:kern w:val="0"/>
          <w:sz w:val="28"/>
          <w:szCs w:val="28"/>
        </w:rPr>
        <w:t>胃黏膜保护药</w:t>
      </w:r>
      <w:r w:rsidRPr="00996AFC">
        <w:rPr>
          <w:rFonts w:ascii="仿宋" w:eastAsia="仿宋" w:hAnsi="仿宋" w:cs="宋体" w:hint="eastAsia"/>
          <w:kern w:val="0"/>
          <w:sz w:val="28"/>
          <w:szCs w:val="28"/>
        </w:rPr>
        <w:t xml:space="preserve">  </w:t>
      </w:r>
      <w:r w:rsidRPr="00996AFC">
        <w:rPr>
          <w:rFonts w:ascii="仿宋" w:eastAsia="仿宋" w:hAnsi="仿宋" w:cs="宋体"/>
          <w:kern w:val="0"/>
          <w:sz w:val="28"/>
          <w:szCs w:val="28"/>
        </w:rPr>
        <w:t>此类药物的基本作用为通过各种不同机制和途径，加强黏膜的屏障功能。药物作用能否充分发挥，有赖于胃内药物浓度及与黏膜接触的时间。胃内有食物存在会影响药物浓度，但食物能降低胃排空速率，延长药物与黏膜接触时间。故多数药物以在半空腹状态下的餐间服用为宜。具体药物因各有不同的特点，适宜的服用时间也不完全相同。如思密达和麦滋林－S在餐间服，硫糖铝在餐前1小时及晚上临睡前服，胶体铋制剂（得乐、德诺、维敏）和米索前列醇（喜克溃）在餐前及晚上睡时服。替普瑞酮（施维舒）则在餐后服。铝碳酸镁（达喜）也在餐后1小时及晚上睡时嚼服，再有症状出现时可随时加服。此药具有可逆性吸附胆盐的独特作用，故最适宜治疗胆汁</w:t>
      </w:r>
      <w:r w:rsidRPr="00996AFC">
        <w:rPr>
          <w:rFonts w:ascii="仿宋" w:eastAsia="仿宋" w:hAnsi="仿宋" w:cs="宋体" w:hint="eastAsia"/>
          <w:kern w:val="0"/>
          <w:sz w:val="28"/>
          <w:szCs w:val="28"/>
        </w:rPr>
        <w:t>返</w:t>
      </w:r>
      <w:r w:rsidRPr="00996AFC">
        <w:rPr>
          <w:rFonts w:ascii="仿宋" w:eastAsia="仿宋" w:hAnsi="仿宋" w:cs="宋体"/>
          <w:kern w:val="0"/>
          <w:sz w:val="28"/>
          <w:szCs w:val="28"/>
        </w:rPr>
        <w:t>流，而餐后是胆汁</w:t>
      </w:r>
      <w:r w:rsidRPr="00996AFC">
        <w:rPr>
          <w:rFonts w:ascii="仿宋" w:eastAsia="仿宋" w:hAnsi="仿宋" w:cs="宋体" w:hint="eastAsia"/>
          <w:kern w:val="0"/>
          <w:sz w:val="28"/>
          <w:szCs w:val="28"/>
        </w:rPr>
        <w:t>返</w:t>
      </w:r>
      <w:r w:rsidRPr="00996AFC">
        <w:rPr>
          <w:rFonts w:ascii="仿宋" w:eastAsia="仿宋" w:hAnsi="仿宋" w:cs="宋体"/>
          <w:kern w:val="0"/>
          <w:sz w:val="28"/>
          <w:szCs w:val="28"/>
        </w:rPr>
        <w:t>流的易发时刻。</w:t>
      </w:r>
    </w:p>
    <w:p w:rsidR="00996AFC" w:rsidRPr="00996AFC" w:rsidRDefault="00996AFC" w:rsidP="00996AFC">
      <w:pPr>
        <w:widowControl/>
        <w:spacing w:line="360" w:lineRule="exact"/>
        <w:jc w:val="left"/>
        <w:rPr>
          <w:rFonts w:ascii="仿宋" w:eastAsia="仿宋" w:hAnsi="仿宋" w:cs="宋体"/>
          <w:kern w:val="0"/>
          <w:sz w:val="28"/>
          <w:szCs w:val="28"/>
        </w:rPr>
      </w:pPr>
      <w:r w:rsidRPr="00996AFC">
        <w:rPr>
          <w:rFonts w:ascii="仿宋" w:eastAsia="仿宋" w:hAnsi="仿宋" w:cs="宋体"/>
          <w:kern w:val="0"/>
          <w:sz w:val="28"/>
          <w:szCs w:val="28"/>
        </w:rPr>
        <w:lastRenderedPageBreak/>
        <w:t xml:space="preserve">　　</w:t>
      </w:r>
      <w:r w:rsidRPr="00996AFC">
        <w:rPr>
          <w:rFonts w:ascii="仿宋" w:eastAsia="仿宋" w:hAnsi="仿宋" w:cs="宋体"/>
          <w:noProof/>
          <w:kern w:val="0"/>
          <w:sz w:val="28"/>
          <w:szCs w:val="28"/>
        </w:rPr>
        <w:drawing>
          <wp:inline distT="0" distB="0" distL="0" distR="0">
            <wp:extent cx="254635" cy="209550"/>
            <wp:effectExtent l="19050" t="0" r="0" b="0"/>
            <wp:docPr id="4" name="图片 4" descr="j0305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305493"/>
                    <pic:cNvPicPr>
                      <a:picLocks noChangeAspect="1" noChangeArrowheads="1"/>
                    </pic:cNvPicPr>
                  </pic:nvPicPr>
                  <pic:blipFill>
                    <a:blip r:embed="rId10" cstate="print"/>
                    <a:srcRect/>
                    <a:stretch>
                      <a:fillRect/>
                    </a:stretch>
                  </pic:blipFill>
                  <pic:spPr bwMode="auto">
                    <a:xfrm>
                      <a:off x="0" y="0"/>
                      <a:ext cx="254635" cy="209550"/>
                    </a:xfrm>
                    <a:prstGeom prst="rect">
                      <a:avLst/>
                    </a:prstGeom>
                    <a:noFill/>
                  </pic:spPr>
                </pic:pic>
              </a:graphicData>
            </a:graphic>
          </wp:inline>
        </w:drawing>
      </w:r>
      <w:r w:rsidRPr="00996AFC">
        <w:rPr>
          <w:rFonts w:ascii="仿宋" w:eastAsia="仿宋" w:hAnsi="仿宋" w:cs="宋体"/>
          <w:kern w:val="0"/>
          <w:sz w:val="28"/>
          <w:szCs w:val="28"/>
        </w:rPr>
        <w:t>促动力药常用多潘立酮（吗丁啉）、西沙必利（普瑞博思）或莫沙必利，均在餐前服用，待进食时药效恰好到达高峰。曲美布汀（舒丽启能）具有对胃肠平滑肌运动的双向调节作用，也在餐前服用。</w:t>
      </w:r>
    </w:p>
    <w:p w:rsidR="00996AFC" w:rsidRPr="00996AFC" w:rsidRDefault="00996AFC" w:rsidP="00996AFC">
      <w:pPr>
        <w:widowControl/>
        <w:spacing w:line="360" w:lineRule="exact"/>
        <w:jc w:val="left"/>
        <w:rPr>
          <w:rFonts w:ascii="仿宋" w:eastAsia="仿宋" w:hAnsi="仿宋" w:cs="宋体"/>
          <w:kern w:val="0"/>
          <w:sz w:val="28"/>
          <w:szCs w:val="28"/>
        </w:rPr>
      </w:pPr>
      <w:r w:rsidRPr="00996AFC">
        <w:rPr>
          <w:rFonts w:ascii="仿宋" w:eastAsia="仿宋" w:hAnsi="仿宋" w:cs="宋体"/>
          <w:noProof/>
          <w:kern w:val="0"/>
          <w:sz w:val="28"/>
          <w:szCs w:val="28"/>
        </w:rPr>
        <w:drawing>
          <wp:anchor distT="0" distB="0" distL="114300" distR="114300" simplePos="0" relativeHeight="251661312" behindDoc="1" locked="0" layoutInCell="1" allowOverlap="1">
            <wp:simplePos x="0" y="0"/>
            <wp:positionH relativeFrom="column">
              <wp:posOffset>4457700</wp:posOffset>
            </wp:positionH>
            <wp:positionV relativeFrom="paragraph">
              <wp:posOffset>746760</wp:posOffset>
            </wp:positionV>
            <wp:extent cx="805180" cy="822960"/>
            <wp:effectExtent l="19050" t="0" r="0" b="0"/>
            <wp:wrapTight wrapText="bothSides">
              <wp:wrapPolygon edited="0">
                <wp:start x="-511" y="0"/>
                <wp:lineTo x="-511" y="21000"/>
                <wp:lineTo x="21464" y="21000"/>
                <wp:lineTo x="21464" y="0"/>
                <wp:lineTo x="-511" y="0"/>
              </wp:wrapPolygon>
            </wp:wrapTight>
            <wp:docPr id="9" name="图片 9" descr="D:\ymx\小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ymx\小孩.jpg"/>
                    <pic:cNvPicPr>
                      <a:picLocks noChangeAspect="1" noChangeArrowheads="1"/>
                    </pic:cNvPicPr>
                  </pic:nvPicPr>
                  <pic:blipFill>
                    <a:blip r:embed="rId11" r:link="rId12" cstate="print">
                      <a:lum bright="-12000"/>
                    </a:blip>
                    <a:srcRect/>
                    <a:stretch>
                      <a:fillRect/>
                    </a:stretch>
                  </pic:blipFill>
                  <pic:spPr bwMode="auto">
                    <a:xfrm>
                      <a:off x="0" y="0"/>
                      <a:ext cx="805180" cy="822960"/>
                    </a:xfrm>
                    <a:prstGeom prst="rect">
                      <a:avLst/>
                    </a:prstGeom>
                    <a:solidFill>
                      <a:srgbClr val="FFFFFF">
                        <a:alpha val="0"/>
                      </a:srgbClr>
                    </a:solidFill>
                    <a:ln w="9525">
                      <a:noFill/>
                      <a:miter lim="800000"/>
                      <a:headEnd/>
                      <a:tailEnd/>
                    </a:ln>
                  </pic:spPr>
                </pic:pic>
              </a:graphicData>
            </a:graphic>
          </wp:anchor>
        </w:drawing>
      </w:r>
      <w:r w:rsidRPr="00996AFC">
        <w:rPr>
          <w:rFonts w:ascii="仿宋" w:eastAsia="仿宋" w:hAnsi="仿宋" w:cs="宋体"/>
          <w:kern w:val="0"/>
          <w:sz w:val="28"/>
          <w:szCs w:val="28"/>
        </w:rPr>
        <w:t xml:space="preserve">　　</w:t>
      </w:r>
      <w:r w:rsidRPr="00996AFC">
        <w:rPr>
          <w:rFonts w:ascii="仿宋" w:eastAsia="仿宋" w:hAnsi="仿宋" w:cs="宋体"/>
          <w:noProof/>
          <w:kern w:val="0"/>
          <w:sz w:val="28"/>
          <w:szCs w:val="28"/>
        </w:rPr>
        <w:drawing>
          <wp:inline distT="0" distB="0" distL="0" distR="0">
            <wp:extent cx="254635" cy="209550"/>
            <wp:effectExtent l="19050" t="0" r="0" b="0"/>
            <wp:docPr id="3" name="图片 3" descr="j0305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305493"/>
                    <pic:cNvPicPr>
                      <a:picLocks noChangeAspect="1" noChangeArrowheads="1"/>
                    </pic:cNvPicPr>
                  </pic:nvPicPr>
                  <pic:blipFill>
                    <a:blip r:embed="rId10" cstate="print"/>
                    <a:srcRect/>
                    <a:stretch>
                      <a:fillRect/>
                    </a:stretch>
                  </pic:blipFill>
                  <pic:spPr bwMode="auto">
                    <a:xfrm>
                      <a:off x="0" y="0"/>
                      <a:ext cx="254635" cy="209550"/>
                    </a:xfrm>
                    <a:prstGeom prst="rect">
                      <a:avLst/>
                    </a:prstGeom>
                    <a:noFill/>
                  </pic:spPr>
                </pic:pic>
              </a:graphicData>
            </a:graphic>
          </wp:inline>
        </w:drawing>
      </w:r>
      <w:r w:rsidRPr="00996AFC">
        <w:rPr>
          <w:rFonts w:ascii="仿宋" w:eastAsia="仿宋" w:hAnsi="仿宋" w:cs="宋体"/>
          <w:kern w:val="0"/>
          <w:sz w:val="28"/>
          <w:szCs w:val="28"/>
        </w:rPr>
        <w:t>根治幽门螺杆菌用药现行方案为以一种质子泵抑制剂或胶体铋制剂，加二种抗生素或抗菌药物，后者常用克拉霉素、羟氨苄青霉素、甲硝唑或替硝唑及呋喃唑酮（痢特灵）。为降低费用，可用H2受体阻断剂替代质子泵抑制剂，但疗效亦有所降低。克拉霉素以餐前空腹服用最佳，如有胃肠刺激现象出现，亦可在餐后或餐时服用。因食物会稍延缓此药的吸收，但对总的生物利用度并无影响。阿莫西林口服后吸收良好，不受食物影响，于餐前、餐后、餐时服用均可。甲硝唑、替硝唑、痢特灵则应在餐后服用，以避免或减轻较易出现的胃肠刺激症状。</w:t>
      </w:r>
    </w:p>
    <w:p w:rsidR="00996AFC" w:rsidRDefault="00996AFC" w:rsidP="004700D8"/>
    <w:p w:rsidR="00996AFC" w:rsidRDefault="00996AFC" w:rsidP="004700D8"/>
    <w:p w:rsidR="00996AFC" w:rsidRDefault="00996AFC" w:rsidP="004700D8"/>
    <w:p w:rsidR="00996AFC" w:rsidRDefault="00996AFC" w:rsidP="004700D8"/>
    <w:p w:rsidR="00996AFC" w:rsidRDefault="00996AFC" w:rsidP="004700D8"/>
    <w:p w:rsidR="00996AFC" w:rsidRDefault="00996AFC" w:rsidP="004700D8"/>
    <w:p w:rsidR="00996AFC" w:rsidRDefault="00996AFC" w:rsidP="004700D8"/>
    <w:p w:rsidR="00996AFC" w:rsidRDefault="00996AFC" w:rsidP="004700D8"/>
    <w:p w:rsidR="00996AFC" w:rsidRDefault="00996AFC" w:rsidP="004700D8"/>
    <w:p w:rsidR="00996AFC" w:rsidRDefault="00996AFC" w:rsidP="004700D8"/>
    <w:p w:rsidR="00996AFC" w:rsidRDefault="00996AFC" w:rsidP="004700D8"/>
    <w:p w:rsidR="00996AFC" w:rsidRDefault="00996AFC" w:rsidP="004700D8"/>
    <w:p w:rsidR="00996AFC" w:rsidRDefault="00996AFC" w:rsidP="004700D8"/>
    <w:p w:rsidR="00996AFC" w:rsidRDefault="00996AFC" w:rsidP="004700D8"/>
    <w:p w:rsidR="004700D8" w:rsidRPr="005C1E56" w:rsidRDefault="00ED1BFA" w:rsidP="004700D8">
      <w:pPr>
        <w:rPr>
          <w:szCs w:val="32"/>
        </w:rPr>
      </w:pPr>
      <w:r w:rsidRPr="005C1E56">
        <w:rPr>
          <w:rFonts w:hint="eastAsia"/>
          <w:szCs w:val="32"/>
        </w:rPr>
        <w:t>【新药信息】</w:t>
      </w:r>
    </w:p>
    <w:p w:rsidR="00996AFC" w:rsidRPr="00996AFC" w:rsidRDefault="00996AFC" w:rsidP="00996AFC">
      <w:pPr>
        <w:widowControl/>
        <w:spacing w:line="690" w:lineRule="atLeast"/>
        <w:jc w:val="left"/>
        <w:rPr>
          <w:rFonts w:ascii="微软雅黑" w:eastAsia="微软雅黑" w:hAnsi="微软雅黑" w:cs="宋体"/>
          <w:color w:val="5F5F5F"/>
          <w:kern w:val="0"/>
          <w:sz w:val="36"/>
          <w:szCs w:val="36"/>
        </w:rPr>
      </w:pPr>
      <w:r w:rsidRPr="00996AFC">
        <w:rPr>
          <w:rFonts w:ascii="微软雅黑" w:eastAsia="微软雅黑" w:hAnsi="微软雅黑" w:cs="宋体" w:hint="eastAsia"/>
          <w:color w:val="5F5F5F"/>
          <w:kern w:val="0"/>
          <w:sz w:val="36"/>
          <w:szCs w:val="36"/>
        </w:rPr>
        <w:lastRenderedPageBreak/>
        <w:t>美索巴莫注射液</w:t>
      </w:r>
      <w:r w:rsidRPr="00996AFC">
        <w:rPr>
          <w:rFonts w:ascii="Arial" w:eastAsia="宋体" w:hAnsi="Arial" w:cs="Arial" w:hint="eastAsia"/>
          <w:vanish/>
          <w:kern w:val="0"/>
          <w:sz w:val="16"/>
          <w:szCs w:val="16"/>
        </w:rPr>
        <w:t>窗体顶端</w:t>
      </w:r>
    </w:p>
    <w:p w:rsidR="00996AFC" w:rsidRPr="00996AFC" w:rsidRDefault="00996AFC" w:rsidP="00996AFC">
      <w:pPr>
        <w:widowControl/>
        <w:spacing w:line="360" w:lineRule="atLeast"/>
        <w:ind w:left="75" w:firstLine="22384"/>
        <w:jc w:val="left"/>
        <w:rPr>
          <w:rFonts w:ascii="微软雅黑" w:eastAsia="微软雅黑" w:hAnsi="微软雅黑" w:cs="宋体"/>
          <w:color w:val="5F5F5F"/>
          <w:kern w:val="0"/>
          <w:sz w:val="18"/>
          <w:szCs w:val="18"/>
        </w:rPr>
      </w:pPr>
      <w:r w:rsidRPr="00996AFC">
        <w:rPr>
          <w:rFonts w:ascii="微软雅黑" w:eastAsia="微软雅黑" w:hAnsi="微软雅黑" w:cs="宋体" w:hint="eastAsia"/>
          <w:color w:val="5F5F5F"/>
          <w:kern w:val="0"/>
          <w:sz w:val="18"/>
          <w:szCs w:val="18"/>
        </w:rPr>
        <w:t>5</w:t>
      </w:r>
      <w:r w:rsidRPr="00996AFC">
        <w:rPr>
          <w:rFonts w:ascii="Arial" w:eastAsia="宋体" w:hAnsi="Arial" w:cs="Arial" w:hint="eastAsia"/>
          <w:vanish/>
          <w:kern w:val="0"/>
          <w:sz w:val="16"/>
          <w:szCs w:val="16"/>
        </w:rPr>
        <w:t>窗体底端</w:t>
      </w:r>
    </w:p>
    <w:p w:rsidR="00996AFC" w:rsidRPr="00996AFC" w:rsidRDefault="00996AFC" w:rsidP="00996AFC">
      <w:pPr>
        <w:widowControl/>
        <w:pBdr>
          <w:top w:val="single" w:sz="6" w:space="10" w:color="E3E3E3"/>
        </w:pBdr>
        <w:jc w:val="left"/>
        <w:rPr>
          <w:rFonts w:ascii="Helvetica" w:eastAsia="宋体" w:hAnsi="Helvetica" w:cs="宋体"/>
          <w:b/>
          <w:bCs/>
          <w:color w:val="545454"/>
          <w:kern w:val="0"/>
          <w:sz w:val="21"/>
          <w:szCs w:val="21"/>
        </w:rPr>
      </w:pPr>
      <w:r w:rsidRPr="00996AFC">
        <w:rPr>
          <w:rFonts w:ascii="Helvetica" w:eastAsia="宋体" w:hAnsi="Helvetica" w:cs="宋体"/>
          <w:b/>
          <w:bCs/>
          <w:color w:val="545454"/>
          <w:kern w:val="0"/>
          <w:sz w:val="21"/>
        </w:rPr>
        <w:t>药品名称</w:t>
      </w:r>
      <w:r w:rsidRPr="00996AFC">
        <w:rPr>
          <w:rFonts w:ascii="Helvetica" w:eastAsia="宋体" w:hAnsi="Helvetica" w:cs="宋体"/>
          <w:b/>
          <w:bCs/>
          <w:color w:val="545454"/>
          <w:kern w:val="0"/>
          <w:sz w:val="21"/>
        </w:rPr>
        <w:t>:</w:t>
      </w:r>
    </w:p>
    <w:p w:rsidR="00996AFC" w:rsidRPr="00996AFC" w:rsidRDefault="00996AFC" w:rsidP="00996AFC">
      <w:pPr>
        <w:widowControl/>
        <w:ind w:left="1455"/>
        <w:jc w:val="left"/>
        <w:rPr>
          <w:rFonts w:ascii="Helvetica" w:eastAsia="宋体" w:hAnsi="Helvetica" w:cs="宋体"/>
          <w:color w:val="5F5F5F"/>
          <w:kern w:val="0"/>
          <w:sz w:val="20"/>
          <w:szCs w:val="20"/>
        </w:rPr>
      </w:pPr>
      <w:r w:rsidRPr="00996AFC">
        <w:rPr>
          <w:rFonts w:ascii="Helvetica" w:eastAsia="宋体" w:hAnsi="Helvetica" w:cs="宋体"/>
          <w:color w:val="5F5F5F"/>
          <w:kern w:val="0"/>
          <w:sz w:val="20"/>
          <w:szCs w:val="20"/>
        </w:rPr>
        <w:t>通用名称：美索巴莫注射液</w:t>
      </w:r>
      <w:r w:rsidRPr="00996AFC">
        <w:rPr>
          <w:rFonts w:ascii="Helvetica" w:eastAsia="宋体" w:hAnsi="Helvetica" w:cs="宋体"/>
          <w:color w:val="5F5F5F"/>
          <w:kern w:val="0"/>
          <w:sz w:val="20"/>
          <w:szCs w:val="20"/>
        </w:rPr>
        <w:br/>
      </w:r>
      <w:r w:rsidRPr="00996AFC">
        <w:rPr>
          <w:rFonts w:ascii="Helvetica" w:eastAsia="宋体" w:hAnsi="Helvetica" w:cs="宋体"/>
          <w:color w:val="5F5F5F"/>
          <w:kern w:val="0"/>
          <w:sz w:val="20"/>
          <w:szCs w:val="20"/>
        </w:rPr>
        <w:t>英文名称：</w:t>
      </w:r>
      <w:r w:rsidRPr="00996AFC">
        <w:rPr>
          <w:rFonts w:ascii="Helvetica" w:eastAsia="宋体" w:hAnsi="Helvetica" w:cs="宋体"/>
          <w:color w:val="5F5F5F"/>
          <w:kern w:val="0"/>
          <w:sz w:val="20"/>
          <w:szCs w:val="20"/>
        </w:rPr>
        <w:t>Methocarbamol Injection</w:t>
      </w:r>
      <w:r w:rsidRPr="00996AFC">
        <w:rPr>
          <w:rFonts w:ascii="Helvetica" w:eastAsia="宋体" w:hAnsi="Helvetica" w:cs="宋体"/>
          <w:color w:val="5F5F5F"/>
          <w:kern w:val="0"/>
          <w:sz w:val="20"/>
          <w:szCs w:val="20"/>
        </w:rPr>
        <w:br/>
      </w:r>
      <w:r w:rsidRPr="00996AFC">
        <w:rPr>
          <w:rFonts w:ascii="Helvetica" w:eastAsia="宋体" w:hAnsi="Helvetica" w:cs="宋体"/>
          <w:color w:val="5F5F5F"/>
          <w:kern w:val="0"/>
          <w:sz w:val="20"/>
          <w:szCs w:val="20"/>
        </w:rPr>
        <w:t>商品名称：美索巴莫注射液</w:t>
      </w:r>
    </w:p>
    <w:p w:rsidR="00996AFC" w:rsidRPr="00996AFC" w:rsidRDefault="00996AFC" w:rsidP="00996AFC">
      <w:pPr>
        <w:widowControl/>
        <w:pBdr>
          <w:top w:val="single" w:sz="6" w:space="10" w:color="E3E3E3"/>
        </w:pBdr>
        <w:jc w:val="left"/>
        <w:rPr>
          <w:rFonts w:ascii="Helvetica" w:eastAsia="宋体" w:hAnsi="Helvetica" w:cs="宋体"/>
          <w:b/>
          <w:bCs/>
          <w:color w:val="545454"/>
          <w:kern w:val="0"/>
          <w:sz w:val="21"/>
          <w:szCs w:val="21"/>
        </w:rPr>
      </w:pPr>
      <w:r w:rsidRPr="00996AFC">
        <w:rPr>
          <w:rFonts w:ascii="Helvetica" w:eastAsia="宋体" w:hAnsi="Helvetica" w:cs="宋体"/>
          <w:b/>
          <w:bCs/>
          <w:color w:val="545454"/>
          <w:kern w:val="0"/>
          <w:sz w:val="21"/>
        </w:rPr>
        <w:t>成份</w:t>
      </w:r>
      <w:r w:rsidRPr="00996AFC">
        <w:rPr>
          <w:rFonts w:ascii="Helvetica" w:eastAsia="宋体" w:hAnsi="Helvetica" w:cs="宋体"/>
          <w:b/>
          <w:bCs/>
          <w:color w:val="545454"/>
          <w:kern w:val="0"/>
          <w:sz w:val="21"/>
        </w:rPr>
        <w:t>:</w:t>
      </w:r>
    </w:p>
    <w:p w:rsidR="00996AFC" w:rsidRPr="00996AFC" w:rsidRDefault="00996AFC" w:rsidP="00996AFC">
      <w:pPr>
        <w:widowControl/>
        <w:ind w:left="1455"/>
        <w:jc w:val="left"/>
        <w:rPr>
          <w:rFonts w:ascii="Helvetica" w:eastAsia="宋体" w:hAnsi="Helvetica" w:cs="宋体"/>
          <w:color w:val="5F5F5F"/>
          <w:kern w:val="0"/>
          <w:sz w:val="20"/>
          <w:szCs w:val="20"/>
        </w:rPr>
      </w:pPr>
      <w:r w:rsidRPr="00996AFC">
        <w:rPr>
          <w:rFonts w:ascii="Helvetica" w:eastAsia="宋体" w:hAnsi="Helvetica" w:cs="宋体"/>
          <w:color w:val="5F5F5F"/>
          <w:kern w:val="0"/>
          <w:sz w:val="20"/>
          <w:szCs w:val="20"/>
        </w:rPr>
        <w:t>本品主要成份为美索巴莫。</w:t>
      </w:r>
      <w:r w:rsidRPr="00996AFC">
        <w:rPr>
          <w:rFonts w:ascii="Helvetica" w:eastAsia="宋体" w:hAnsi="Helvetica" w:cs="宋体"/>
          <w:color w:val="5F5F5F"/>
          <w:kern w:val="0"/>
          <w:sz w:val="20"/>
          <w:szCs w:val="20"/>
        </w:rPr>
        <w:t> </w:t>
      </w:r>
      <w:r w:rsidRPr="00996AFC">
        <w:rPr>
          <w:rFonts w:ascii="Helvetica" w:eastAsia="宋体" w:hAnsi="Helvetica" w:cs="宋体"/>
          <w:color w:val="5F5F5F"/>
          <w:kern w:val="0"/>
          <w:sz w:val="20"/>
          <w:szCs w:val="20"/>
        </w:rPr>
        <w:br/>
      </w:r>
      <w:r w:rsidRPr="00996AFC">
        <w:rPr>
          <w:rFonts w:ascii="Helvetica" w:eastAsia="宋体" w:hAnsi="Helvetica" w:cs="宋体"/>
          <w:color w:val="5F5F5F"/>
          <w:kern w:val="0"/>
          <w:sz w:val="20"/>
          <w:szCs w:val="20"/>
        </w:rPr>
        <w:t>本品辅料为聚乙二醇</w:t>
      </w:r>
      <w:r w:rsidRPr="00996AFC">
        <w:rPr>
          <w:rFonts w:ascii="Helvetica" w:eastAsia="宋体" w:hAnsi="Helvetica" w:cs="宋体"/>
          <w:color w:val="5F5F5F"/>
          <w:kern w:val="0"/>
          <w:sz w:val="20"/>
          <w:szCs w:val="20"/>
        </w:rPr>
        <w:t>300</w:t>
      </w:r>
      <w:r w:rsidRPr="00996AFC">
        <w:rPr>
          <w:rFonts w:ascii="Helvetica" w:eastAsia="宋体" w:hAnsi="Helvetica" w:cs="宋体"/>
          <w:color w:val="5F5F5F"/>
          <w:kern w:val="0"/>
          <w:sz w:val="20"/>
          <w:szCs w:val="20"/>
        </w:rPr>
        <w:t>，注射用水。</w:t>
      </w:r>
    </w:p>
    <w:p w:rsidR="00996AFC" w:rsidRPr="00996AFC" w:rsidRDefault="00996AFC" w:rsidP="00996AFC">
      <w:pPr>
        <w:widowControl/>
        <w:pBdr>
          <w:top w:val="single" w:sz="6" w:space="10" w:color="E3E3E3"/>
        </w:pBdr>
        <w:jc w:val="left"/>
        <w:rPr>
          <w:rFonts w:ascii="Helvetica" w:eastAsia="宋体" w:hAnsi="Helvetica" w:cs="宋体"/>
          <w:b/>
          <w:bCs/>
          <w:color w:val="545454"/>
          <w:kern w:val="0"/>
          <w:sz w:val="21"/>
          <w:szCs w:val="21"/>
        </w:rPr>
      </w:pPr>
      <w:r w:rsidRPr="00996AFC">
        <w:rPr>
          <w:rFonts w:ascii="Helvetica" w:eastAsia="宋体" w:hAnsi="Helvetica" w:cs="宋体"/>
          <w:b/>
          <w:bCs/>
          <w:color w:val="545454"/>
          <w:kern w:val="0"/>
          <w:sz w:val="21"/>
        </w:rPr>
        <w:t>适应症</w:t>
      </w:r>
      <w:r w:rsidRPr="00996AFC">
        <w:rPr>
          <w:rFonts w:ascii="Helvetica" w:eastAsia="宋体" w:hAnsi="Helvetica" w:cs="宋体"/>
          <w:b/>
          <w:bCs/>
          <w:color w:val="545454"/>
          <w:kern w:val="0"/>
          <w:sz w:val="21"/>
        </w:rPr>
        <w:t>:</w:t>
      </w:r>
    </w:p>
    <w:p w:rsidR="00996AFC" w:rsidRPr="00996AFC" w:rsidRDefault="00996AFC" w:rsidP="00996AFC">
      <w:pPr>
        <w:widowControl/>
        <w:spacing w:after="375"/>
        <w:ind w:left="1455"/>
        <w:jc w:val="left"/>
        <w:rPr>
          <w:rFonts w:ascii="Helvetica" w:eastAsia="宋体" w:hAnsi="Helvetica" w:cs="宋体"/>
          <w:color w:val="5F5F5F"/>
          <w:kern w:val="0"/>
          <w:sz w:val="20"/>
          <w:szCs w:val="20"/>
        </w:rPr>
      </w:pPr>
      <w:r w:rsidRPr="00996AFC">
        <w:rPr>
          <w:rFonts w:ascii="Helvetica" w:eastAsia="宋体" w:hAnsi="Helvetica" w:cs="宋体"/>
          <w:color w:val="5F5F5F"/>
          <w:kern w:val="0"/>
          <w:sz w:val="20"/>
          <w:szCs w:val="20"/>
        </w:rPr>
        <w:t>主要用于急性骨骼肌疼痛或不适症状的辅助治疗。</w:t>
      </w:r>
    </w:p>
    <w:p w:rsidR="00996AFC" w:rsidRPr="00996AFC" w:rsidRDefault="00996AFC" w:rsidP="00996AFC">
      <w:pPr>
        <w:widowControl/>
        <w:pBdr>
          <w:top w:val="single" w:sz="6" w:space="10" w:color="E3E3E3"/>
        </w:pBdr>
        <w:jc w:val="left"/>
        <w:rPr>
          <w:rFonts w:ascii="Helvetica" w:eastAsia="宋体" w:hAnsi="Helvetica" w:cs="宋体"/>
          <w:b/>
          <w:bCs/>
          <w:color w:val="545454"/>
          <w:kern w:val="0"/>
          <w:sz w:val="21"/>
          <w:szCs w:val="21"/>
        </w:rPr>
      </w:pPr>
      <w:r w:rsidRPr="00996AFC">
        <w:rPr>
          <w:rFonts w:ascii="Helvetica" w:eastAsia="宋体" w:hAnsi="Helvetica" w:cs="宋体"/>
          <w:b/>
          <w:bCs/>
          <w:color w:val="545454"/>
          <w:kern w:val="0"/>
          <w:sz w:val="21"/>
        </w:rPr>
        <w:t>用法用量</w:t>
      </w:r>
      <w:r w:rsidRPr="00996AFC">
        <w:rPr>
          <w:rFonts w:ascii="Helvetica" w:eastAsia="宋体" w:hAnsi="Helvetica" w:cs="宋体"/>
          <w:b/>
          <w:bCs/>
          <w:color w:val="545454"/>
          <w:kern w:val="0"/>
          <w:sz w:val="21"/>
        </w:rPr>
        <w:t>:</w:t>
      </w:r>
    </w:p>
    <w:p w:rsidR="00996AFC" w:rsidRPr="00996AFC" w:rsidRDefault="00996AFC" w:rsidP="00996AFC">
      <w:pPr>
        <w:widowControl/>
        <w:spacing w:before="120" w:after="120" w:line="360" w:lineRule="atLeast"/>
        <w:ind w:left="1455"/>
        <w:jc w:val="left"/>
        <w:rPr>
          <w:rFonts w:ascii="Helvetica" w:eastAsia="宋体" w:hAnsi="Helvetica" w:cs="宋体"/>
          <w:color w:val="5F5F5F"/>
          <w:kern w:val="0"/>
          <w:sz w:val="20"/>
          <w:szCs w:val="20"/>
        </w:rPr>
      </w:pPr>
      <w:r w:rsidRPr="00996AFC">
        <w:rPr>
          <w:rFonts w:ascii="Helvetica" w:eastAsia="宋体" w:hAnsi="Helvetica" w:cs="宋体"/>
          <w:color w:val="5F5F5F"/>
          <w:kern w:val="0"/>
          <w:sz w:val="20"/>
          <w:szCs w:val="20"/>
        </w:rPr>
        <w:t>静脉推注，病人在静卧条件下，缓缓推注，给药速度每分钟不得超过</w:t>
      </w:r>
      <w:r w:rsidRPr="00996AFC">
        <w:rPr>
          <w:rFonts w:ascii="Helvetica" w:eastAsia="宋体" w:hAnsi="Helvetica" w:cs="宋体"/>
          <w:color w:val="5F5F5F"/>
          <w:kern w:val="0"/>
          <w:sz w:val="20"/>
          <w:szCs w:val="20"/>
        </w:rPr>
        <w:t>3ml</w:t>
      </w:r>
      <w:r w:rsidRPr="00996AFC">
        <w:rPr>
          <w:rFonts w:ascii="Helvetica" w:eastAsia="宋体" w:hAnsi="Helvetica" w:cs="宋体"/>
          <w:color w:val="5F5F5F"/>
          <w:kern w:val="0"/>
          <w:sz w:val="20"/>
          <w:szCs w:val="20"/>
        </w:rPr>
        <w:t>，注射后应至少休息</w:t>
      </w:r>
      <w:r w:rsidRPr="00996AFC">
        <w:rPr>
          <w:rFonts w:ascii="Helvetica" w:eastAsia="宋体" w:hAnsi="Helvetica" w:cs="宋体"/>
          <w:color w:val="5F5F5F"/>
          <w:kern w:val="0"/>
          <w:sz w:val="20"/>
          <w:szCs w:val="20"/>
        </w:rPr>
        <w:t>10-15</w:t>
      </w:r>
      <w:r w:rsidRPr="00996AFC">
        <w:rPr>
          <w:rFonts w:ascii="Helvetica" w:eastAsia="宋体" w:hAnsi="Helvetica" w:cs="宋体"/>
          <w:color w:val="5F5F5F"/>
          <w:kern w:val="0"/>
          <w:sz w:val="20"/>
          <w:szCs w:val="20"/>
        </w:rPr>
        <w:t>分钟。</w:t>
      </w:r>
    </w:p>
    <w:p w:rsidR="00996AFC" w:rsidRPr="00996AFC" w:rsidRDefault="00996AFC" w:rsidP="00996AFC">
      <w:pPr>
        <w:widowControl/>
        <w:ind w:left="1455"/>
        <w:jc w:val="left"/>
        <w:rPr>
          <w:rFonts w:ascii="Helvetica" w:eastAsia="宋体" w:hAnsi="Helvetica" w:cs="宋体"/>
          <w:color w:val="5F5F5F"/>
          <w:kern w:val="0"/>
          <w:sz w:val="20"/>
          <w:szCs w:val="20"/>
        </w:rPr>
      </w:pPr>
      <w:r w:rsidRPr="00996AFC">
        <w:rPr>
          <w:rFonts w:ascii="Helvetica" w:eastAsia="宋体" w:hAnsi="Helvetica" w:cs="宋体"/>
          <w:color w:val="5F5F5F"/>
          <w:kern w:val="0"/>
          <w:sz w:val="20"/>
          <w:szCs w:val="20"/>
        </w:rPr>
        <w:t>静脉滴注：配于</w:t>
      </w:r>
      <w:r w:rsidRPr="00996AFC">
        <w:rPr>
          <w:rFonts w:ascii="Helvetica" w:eastAsia="宋体" w:hAnsi="Helvetica" w:cs="宋体"/>
          <w:color w:val="5F5F5F"/>
          <w:kern w:val="0"/>
          <w:sz w:val="20"/>
          <w:szCs w:val="20"/>
        </w:rPr>
        <w:t>0.9%</w:t>
      </w:r>
      <w:r w:rsidRPr="00996AFC">
        <w:rPr>
          <w:rFonts w:ascii="Helvetica" w:eastAsia="宋体" w:hAnsi="Helvetica" w:cs="宋体"/>
          <w:color w:val="5F5F5F"/>
          <w:kern w:val="0"/>
          <w:sz w:val="20"/>
          <w:szCs w:val="20"/>
        </w:rPr>
        <w:t>氯化钠注射液或</w:t>
      </w:r>
      <w:r w:rsidRPr="00996AFC">
        <w:rPr>
          <w:rFonts w:ascii="Helvetica" w:eastAsia="宋体" w:hAnsi="Helvetica" w:cs="宋体"/>
          <w:color w:val="5F5F5F"/>
          <w:kern w:val="0"/>
          <w:sz w:val="20"/>
          <w:szCs w:val="20"/>
        </w:rPr>
        <w:t>5%</w:t>
      </w:r>
      <w:r w:rsidRPr="00996AFC">
        <w:rPr>
          <w:rFonts w:ascii="Helvetica" w:eastAsia="宋体" w:hAnsi="Helvetica" w:cs="宋体"/>
          <w:color w:val="5F5F5F"/>
          <w:kern w:val="0"/>
          <w:sz w:val="20"/>
          <w:szCs w:val="20"/>
        </w:rPr>
        <w:t>葡萄糖注射液中静脉滴注，滴速不宜过快，</w:t>
      </w:r>
      <w:r w:rsidRPr="00996AFC">
        <w:rPr>
          <w:rFonts w:ascii="Helvetica" w:eastAsia="宋体" w:hAnsi="Helvetica" w:cs="宋体"/>
          <w:color w:val="5F5F5F"/>
          <w:kern w:val="0"/>
          <w:sz w:val="20"/>
          <w:szCs w:val="20"/>
        </w:rPr>
        <w:t>1.0g</w:t>
      </w:r>
      <w:r w:rsidRPr="00996AFC">
        <w:rPr>
          <w:rFonts w:ascii="Helvetica" w:eastAsia="宋体" w:hAnsi="Helvetica" w:cs="宋体"/>
          <w:color w:val="5F5F5F"/>
          <w:kern w:val="0"/>
          <w:sz w:val="20"/>
          <w:szCs w:val="20"/>
        </w:rPr>
        <w:t>的稀释量不应超过</w:t>
      </w:r>
      <w:r w:rsidRPr="00996AFC">
        <w:rPr>
          <w:rFonts w:ascii="Helvetica" w:eastAsia="宋体" w:hAnsi="Helvetica" w:cs="宋体"/>
          <w:color w:val="5F5F5F"/>
          <w:kern w:val="0"/>
          <w:sz w:val="20"/>
          <w:szCs w:val="20"/>
        </w:rPr>
        <w:t>250ml</w:t>
      </w:r>
      <w:r w:rsidRPr="00996AFC">
        <w:rPr>
          <w:rFonts w:ascii="Helvetica" w:eastAsia="宋体" w:hAnsi="Helvetica" w:cs="宋体"/>
          <w:color w:val="5F5F5F"/>
          <w:kern w:val="0"/>
          <w:sz w:val="20"/>
          <w:szCs w:val="20"/>
        </w:rPr>
        <w:t>。稀释后的混合液不能冷藏。使用剂量和次数根据病情和治疗效果来决定，成人一次使用剂量为</w:t>
      </w:r>
      <w:r w:rsidRPr="00996AFC">
        <w:rPr>
          <w:rFonts w:ascii="Helvetica" w:eastAsia="宋体" w:hAnsi="Helvetica" w:cs="宋体"/>
          <w:color w:val="5F5F5F"/>
          <w:kern w:val="0"/>
          <w:sz w:val="20"/>
          <w:szCs w:val="20"/>
        </w:rPr>
        <w:t>1.0g</w:t>
      </w:r>
      <w:r w:rsidRPr="00996AFC">
        <w:rPr>
          <w:rFonts w:ascii="Helvetica" w:eastAsia="宋体" w:hAnsi="Helvetica" w:cs="宋体"/>
          <w:color w:val="5F5F5F"/>
          <w:kern w:val="0"/>
          <w:sz w:val="20"/>
          <w:szCs w:val="20"/>
        </w:rPr>
        <w:t>，一日最大剂量为</w:t>
      </w:r>
      <w:r w:rsidRPr="00996AFC">
        <w:rPr>
          <w:rFonts w:ascii="Helvetica" w:eastAsia="宋体" w:hAnsi="Helvetica" w:cs="宋体"/>
          <w:color w:val="5F5F5F"/>
          <w:kern w:val="0"/>
          <w:sz w:val="20"/>
          <w:szCs w:val="20"/>
        </w:rPr>
        <w:t>3.0g</w:t>
      </w:r>
      <w:r w:rsidRPr="00996AFC">
        <w:rPr>
          <w:rFonts w:ascii="Helvetica" w:eastAsia="宋体" w:hAnsi="Helvetica" w:cs="宋体"/>
          <w:color w:val="5F5F5F"/>
          <w:kern w:val="0"/>
          <w:sz w:val="20"/>
          <w:szCs w:val="20"/>
        </w:rPr>
        <w:t>，连续使用不得超过</w:t>
      </w:r>
      <w:r w:rsidRPr="00996AFC">
        <w:rPr>
          <w:rFonts w:ascii="Helvetica" w:eastAsia="宋体" w:hAnsi="Helvetica" w:cs="宋体"/>
          <w:color w:val="5F5F5F"/>
          <w:kern w:val="0"/>
          <w:sz w:val="20"/>
          <w:szCs w:val="20"/>
        </w:rPr>
        <w:t>3</w:t>
      </w:r>
      <w:r w:rsidRPr="00996AFC">
        <w:rPr>
          <w:rFonts w:ascii="Helvetica" w:eastAsia="宋体" w:hAnsi="Helvetica" w:cs="宋体"/>
          <w:color w:val="5F5F5F"/>
          <w:kern w:val="0"/>
          <w:sz w:val="20"/>
          <w:szCs w:val="20"/>
        </w:rPr>
        <w:t>天。轻度病例静注后应改为口服给药以维持治疗。严重病例或手术后不适合口服给药时，每</w:t>
      </w:r>
      <w:r w:rsidRPr="00996AFC">
        <w:rPr>
          <w:rFonts w:ascii="Helvetica" w:eastAsia="宋体" w:hAnsi="Helvetica" w:cs="宋体"/>
          <w:color w:val="5F5F5F"/>
          <w:kern w:val="0"/>
          <w:sz w:val="20"/>
          <w:szCs w:val="20"/>
        </w:rPr>
        <w:t>8</w:t>
      </w:r>
      <w:r w:rsidRPr="00996AFC">
        <w:rPr>
          <w:rFonts w:ascii="Helvetica" w:eastAsia="宋体" w:hAnsi="Helvetica" w:cs="宋体"/>
          <w:color w:val="5F5F5F"/>
          <w:kern w:val="0"/>
          <w:sz w:val="20"/>
          <w:szCs w:val="20"/>
        </w:rPr>
        <w:t>小时给药一次，达每日</w:t>
      </w:r>
      <w:r w:rsidRPr="00996AFC">
        <w:rPr>
          <w:rFonts w:ascii="Helvetica" w:eastAsia="宋体" w:hAnsi="Helvetica" w:cs="宋体"/>
          <w:color w:val="5F5F5F"/>
          <w:kern w:val="0"/>
          <w:sz w:val="20"/>
          <w:szCs w:val="20"/>
        </w:rPr>
        <w:t>3g</w:t>
      </w:r>
      <w:r w:rsidRPr="00996AFC">
        <w:rPr>
          <w:rFonts w:ascii="Helvetica" w:eastAsia="宋体" w:hAnsi="Helvetica" w:cs="宋体"/>
          <w:color w:val="5F5F5F"/>
          <w:kern w:val="0"/>
          <w:sz w:val="20"/>
          <w:szCs w:val="20"/>
        </w:rPr>
        <w:t>的最大剂量，连续使用不能超过</w:t>
      </w:r>
      <w:r w:rsidRPr="00996AFC">
        <w:rPr>
          <w:rFonts w:ascii="Helvetica" w:eastAsia="宋体" w:hAnsi="Helvetica" w:cs="宋体"/>
          <w:color w:val="5F5F5F"/>
          <w:kern w:val="0"/>
          <w:sz w:val="20"/>
          <w:szCs w:val="20"/>
        </w:rPr>
        <w:t>3</w:t>
      </w:r>
      <w:r w:rsidRPr="00996AFC">
        <w:rPr>
          <w:rFonts w:ascii="Helvetica" w:eastAsia="宋体" w:hAnsi="Helvetica" w:cs="宋体"/>
          <w:color w:val="5F5F5F"/>
          <w:kern w:val="0"/>
          <w:sz w:val="20"/>
          <w:szCs w:val="20"/>
        </w:rPr>
        <w:t>天。若病情持续，在停药</w:t>
      </w:r>
      <w:r w:rsidRPr="00996AFC">
        <w:rPr>
          <w:rFonts w:ascii="Helvetica" w:eastAsia="宋体" w:hAnsi="Helvetica" w:cs="宋体"/>
          <w:color w:val="5F5F5F"/>
          <w:kern w:val="0"/>
          <w:sz w:val="20"/>
          <w:szCs w:val="20"/>
        </w:rPr>
        <w:t>48</w:t>
      </w:r>
      <w:r w:rsidRPr="00996AFC">
        <w:rPr>
          <w:rFonts w:ascii="Helvetica" w:eastAsia="宋体" w:hAnsi="Helvetica" w:cs="宋体"/>
          <w:color w:val="5F5F5F"/>
          <w:kern w:val="0"/>
          <w:sz w:val="20"/>
          <w:szCs w:val="20"/>
        </w:rPr>
        <w:t>小时后可再重复给予一次疗程。</w:t>
      </w:r>
    </w:p>
    <w:p w:rsidR="00996AFC" w:rsidRPr="00996AFC" w:rsidRDefault="00996AFC" w:rsidP="00996AFC">
      <w:pPr>
        <w:widowControl/>
        <w:pBdr>
          <w:top w:val="single" w:sz="6" w:space="10" w:color="E3E3E3"/>
        </w:pBdr>
        <w:jc w:val="left"/>
        <w:rPr>
          <w:rFonts w:ascii="Helvetica" w:eastAsia="宋体" w:hAnsi="Helvetica" w:cs="宋体"/>
          <w:b/>
          <w:bCs/>
          <w:color w:val="545454"/>
          <w:kern w:val="0"/>
          <w:sz w:val="21"/>
          <w:szCs w:val="21"/>
        </w:rPr>
      </w:pPr>
      <w:r w:rsidRPr="00996AFC">
        <w:rPr>
          <w:rFonts w:ascii="Helvetica" w:eastAsia="宋体" w:hAnsi="Helvetica" w:cs="宋体"/>
          <w:b/>
          <w:bCs/>
          <w:color w:val="545454"/>
          <w:kern w:val="0"/>
          <w:sz w:val="21"/>
        </w:rPr>
        <w:t>不良反应</w:t>
      </w:r>
      <w:r w:rsidRPr="00996AFC">
        <w:rPr>
          <w:rFonts w:ascii="Helvetica" w:eastAsia="宋体" w:hAnsi="Helvetica" w:cs="宋体"/>
          <w:b/>
          <w:bCs/>
          <w:color w:val="545454"/>
          <w:kern w:val="0"/>
          <w:sz w:val="21"/>
        </w:rPr>
        <w:t>:</w:t>
      </w:r>
    </w:p>
    <w:p w:rsidR="00996AFC" w:rsidRPr="00996AFC" w:rsidRDefault="00996AFC" w:rsidP="00996AFC">
      <w:pPr>
        <w:widowControl/>
        <w:spacing w:after="375"/>
        <w:ind w:left="1455"/>
        <w:jc w:val="left"/>
        <w:rPr>
          <w:rFonts w:ascii="Helvetica" w:eastAsia="宋体" w:hAnsi="Helvetica" w:cs="宋体"/>
          <w:color w:val="5F5F5F"/>
          <w:kern w:val="0"/>
          <w:sz w:val="20"/>
          <w:szCs w:val="20"/>
        </w:rPr>
      </w:pPr>
      <w:r w:rsidRPr="00996AFC">
        <w:rPr>
          <w:rFonts w:ascii="Helvetica" w:eastAsia="宋体" w:hAnsi="Helvetica" w:cs="宋体"/>
          <w:color w:val="5F5F5F"/>
          <w:kern w:val="0"/>
          <w:sz w:val="20"/>
          <w:szCs w:val="20"/>
        </w:rPr>
        <w:t>主要不良反应：过敏反应、发热、头疼。心血管系统：心动过缓、面部潮红、低血压、昏厥、血栓性静脉炎、多数昏厥的病例可自然恢复，另外，肾上腺素、注射用类固醇激素和</w:t>
      </w:r>
      <w:r w:rsidRPr="00996AFC">
        <w:rPr>
          <w:rFonts w:ascii="Helvetica" w:eastAsia="宋体" w:hAnsi="Helvetica" w:cs="宋体"/>
          <w:color w:val="5F5F5F"/>
          <w:kern w:val="0"/>
          <w:sz w:val="20"/>
          <w:szCs w:val="20"/>
        </w:rPr>
        <w:t>/</w:t>
      </w:r>
      <w:r w:rsidRPr="00996AFC">
        <w:rPr>
          <w:rFonts w:ascii="Helvetica" w:eastAsia="宋体" w:hAnsi="Helvetica" w:cs="宋体"/>
          <w:color w:val="5F5F5F"/>
          <w:kern w:val="0"/>
          <w:sz w:val="20"/>
          <w:szCs w:val="20"/>
        </w:rPr>
        <w:t>或抗组胺制剂能促进恢复。消化系统：消化不良、黄疸（包括胆源性黄疸）、恶心、呕吐。血液和淋巴系统：白细胞减少。神经系统：健忘、混乱、复视、头晕眼花、嗜睡、失眠、共济失调、眼球震颤（包括癫痫大发作）、眩晕。皮肤和特殊感觉：视力模糊、鼻充血、金属味、瘙痒、皮疹、风疹。其它：疼痛、注射部位蜕皮。</w:t>
      </w:r>
    </w:p>
    <w:p w:rsidR="00996AFC" w:rsidRPr="00996AFC" w:rsidRDefault="00996AFC" w:rsidP="00996AFC">
      <w:pPr>
        <w:widowControl/>
        <w:pBdr>
          <w:top w:val="single" w:sz="6" w:space="10" w:color="E3E3E3"/>
        </w:pBdr>
        <w:jc w:val="left"/>
        <w:rPr>
          <w:rFonts w:ascii="Helvetica" w:eastAsia="宋体" w:hAnsi="Helvetica" w:cs="宋体"/>
          <w:b/>
          <w:bCs/>
          <w:color w:val="545454"/>
          <w:kern w:val="0"/>
          <w:sz w:val="21"/>
          <w:szCs w:val="21"/>
        </w:rPr>
      </w:pPr>
      <w:r w:rsidRPr="00996AFC">
        <w:rPr>
          <w:rFonts w:ascii="Helvetica" w:eastAsia="宋体" w:hAnsi="Helvetica" w:cs="宋体"/>
          <w:b/>
          <w:bCs/>
          <w:color w:val="545454"/>
          <w:kern w:val="0"/>
          <w:sz w:val="21"/>
        </w:rPr>
        <w:t>禁忌</w:t>
      </w:r>
      <w:r w:rsidRPr="00996AFC">
        <w:rPr>
          <w:rFonts w:ascii="Helvetica" w:eastAsia="宋体" w:hAnsi="Helvetica" w:cs="宋体"/>
          <w:b/>
          <w:bCs/>
          <w:color w:val="545454"/>
          <w:kern w:val="0"/>
          <w:sz w:val="21"/>
        </w:rPr>
        <w:t>:</w:t>
      </w:r>
    </w:p>
    <w:p w:rsidR="00996AFC" w:rsidRPr="00996AFC" w:rsidRDefault="00996AFC" w:rsidP="00996AFC">
      <w:pPr>
        <w:widowControl/>
        <w:numPr>
          <w:ilvl w:val="0"/>
          <w:numId w:val="4"/>
        </w:numPr>
        <w:ind w:left="1455"/>
        <w:jc w:val="left"/>
        <w:rPr>
          <w:rFonts w:ascii="Helvetica" w:eastAsia="宋体" w:hAnsi="Helvetica" w:cs="宋体"/>
          <w:color w:val="5F5F5F"/>
          <w:kern w:val="0"/>
          <w:sz w:val="20"/>
          <w:szCs w:val="20"/>
        </w:rPr>
      </w:pPr>
      <w:r w:rsidRPr="00996AFC">
        <w:rPr>
          <w:rFonts w:ascii="Helvetica" w:eastAsia="宋体" w:hAnsi="Helvetica" w:cs="宋体"/>
          <w:color w:val="5F5F5F"/>
          <w:kern w:val="0"/>
          <w:sz w:val="20"/>
          <w:szCs w:val="20"/>
        </w:rPr>
        <w:t>本品以聚乙二醇</w:t>
      </w:r>
      <w:r w:rsidRPr="00996AFC">
        <w:rPr>
          <w:rFonts w:ascii="Helvetica" w:eastAsia="宋体" w:hAnsi="Helvetica" w:cs="宋体"/>
          <w:color w:val="5F5F5F"/>
          <w:kern w:val="0"/>
          <w:sz w:val="20"/>
          <w:szCs w:val="20"/>
        </w:rPr>
        <w:t>300</w:t>
      </w:r>
      <w:r w:rsidRPr="00996AFC">
        <w:rPr>
          <w:rFonts w:ascii="Helvetica" w:eastAsia="宋体" w:hAnsi="Helvetica" w:cs="宋体"/>
          <w:color w:val="5F5F5F"/>
          <w:kern w:val="0"/>
          <w:sz w:val="20"/>
          <w:szCs w:val="20"/>
        </w:rPr>
        <w:t>为溶媒，它可以加重肾功能不全患者原有的酸毒症和尿素的积蓄，因此禁用于肝、肾功能障碍者。</w:t>
      </w:r>
      <w:r w:rsidRPr="00996AFC">
        <w:rPr>
          <w:rFonts w:ascii="Helvetica" w:eastAsia="宋体" w:hAnsi="Helvetica" w:cs="宋体"/>
          <w:color w:val="5F5F5F"/>
          <w:kern w:val="0"/>
          <w:sz w:val="20"/>
          <w:szCs w:val="20"/>
        </w:rPr>
        <w:t> </w:t>
      </w:r>
    </w:p>
    <w:p w:rsidR="00996AFC" w:rsidRPr="00996AFC" w:rsidRDefault="00996AFC" w:rsidP="00996AFC">
      <w:pPr>
        <w:widowControl/>
        <w:numPr>
          <w:ilvl w:val="0"/>
          <w:numId w:val="4"/>
        </w:numPr>
        <w:ind w:left="1455"/>
        <w:jc w:val="left"/>
        <w:rPr>
          <w:rFonts w:ascii="Helvetica" w:eastAsia="宋体" w:hAnsi="Helvetica" w:cs="宋体"/>
          <w:color w:val="5F5F5F"/>
          <w:kern w:val="0"/>
          <w:sz w:val="20"/>
          <w:szCs w:val="20"/>
        </w:rPr>
      </w:pPr>
      <w:r w:rsidRPr="00996AFC">
        <w:rPr>
          <w:rFonts w:ascii="Helvetica" w:eastAsia="宋体" w:hAnsi="Helvetica" w:cs="宋体"/>
          <w:color w:val="5F5F5F"/>
          <w:kern w:val="0"/>
          <w:sz w:val="20"/>
          <w:szCs w:val="20"/>
        </w:rPr>
        <w:t>孕妇及哺乳期妇女禁用。</w:t>
      </w:r>
      <w:r w:rsidRPr="00996AFC">
        <w:rPr>
          <w:rFonts w:ascii="Helvetica" w:eastAsia="宋体" w:hAnsi="Helvetica" w:cs="宋体"/>
          <w:color w:val="5F5F5F"/>
          <w:kern w:val="0"/>
          <w:sz w:val="20"/>
          <w:szCs w:val="20"/>
        </w:rPr>
        <w:t> </w:t>
      </w:r>
    </w:p>
    <w:p w:rsidR="00996AFC" w:rsidRPr="00996AFC" w:rsidRDefault="00996AFC" w:rsidP="00996AFC">
      <w:pPr>
        <w:widowControl/>
        <w:numPr>
          <w:ilvl w:val="0"/>
          <w:numId w:val="4"/>
        </w:numPr>
        <w:ind w:left="1455"/>
        <w:jc w:val="left"/>
        <w:rPr>
          <w:rFonts w:ascii="Helvetica" w:eastAsia="宋体" w:hAnsi="Helvetica" w:cs="宋体"/>
          <w:color w:val="5F5F5F"/>
          <w:kern w:val="0"/>
          <w:sz w:val="20"/>
          <w:szCs w:val="20"/>
        </w:rPr>
      </w:pPr>
      <w:r w:rsidRPr="00996AFC">
        <w:rPr>
          <w:rFonts w:ascii="Helvetica" w:eastAsia="宋体" w:hAnsi="Helvetica" w:cs="宋体"/>
          <w:color w:val="5F5F5F"/>
          <w:kern w:val="0"/>
          <w:sz w:val="20"/>
          <w:szCs w:val="20"/>
        </w:rPr>
        <w:t>对本品过敏者禁用。</w:t>
      </w:r>
    </w:p>
    <w:p w:rsidR="00996AFC" w:rsidRPr="00996AFC" w:rsidRDefault="00996AFC" w:rsidP="00996AFC">
      <w:pPr>
        <w:widowControl/>
        <w:pBdr>
          <w:top w:val="single" w:sz="6" w:space="10" w:color="E3E3E3"/>
        </w:pBdr>
        <w:jc w:val="left"/>
        <w:rPr>
          <w:rFonts w:ascii="Helvetica" w:eastAsia="宋体" w:hAnsi="Helvetica" w:cs="宋体"/>
          <w:b/>
          <w:bCs/>
          <w:color w:val="545454"/>
          <w:kern w:val="0"/>
          <w:sz w:val="21"/>
          <w:szCs w:val="21"/>
        </w:rPr>
      </w:pPr>
      <w:r w:rsidRPr="00996AFC">
        <w:rPr>
          <w:rFonts w:ascii="Helvetica" w:eastAsia="宋体" w:hAnsi="Helvetica" w:cs="宋体"/>
          <w:b/>
          <w:bCs/>
          <w:color w:val="545454"/>
          <w:kern w:val="0"/>
          <w:sz w:val="21"/>
        </w:rPr>
        <w:t>警告</w:t>
      </w:r>
      <w:r w:rsidRPr="00996AFC">
        <w:rPr>
          <w:rFonts w:ascii="Helvetica" w:eastAsia="宋体" w:hAnsi="Helvetica" w:cs="宋体"/>
          <w:b/>
          <w:bCs/>
          <w:color w:val="545454"/>
          <w:kern w:val="0"/>
          <w:sz w:val="21"/>
        </w:rPr>
        <w:t>:</w:t>
      </w:r>
    </w:p>
    <w:p w:rsidR="00996AFC" w:rsidRPr="00996AFC" w:rsidRDefault="00996AFC" w:rsidP="00996AFC">
      <w:pPr>
        <w:widowControl/>
        <w:spacing w:after="375"/>
        <w:ind w:left="1455"/>
        <w:jc w:val="left"/>
        <w:rPr>
          <w:rFonts w:ascii="Helvetica" w:eastAsia="宋体" w:hAnsi="Helvetica" w:cs="宋体"/>
          <w:color w:val="5F5F5F"/>
          <w:kern w:val="0"/>
          <w:sz w:val="20"/>
          <w:szCs w:val="20"/>
        </w:rPr>
      </w:pPr>
      <w:r w:rsidRPr="00996AFC">
        <w:rPr>
          <w:rFonts w:ascii="Helvetica" w:eastAsia="宋体" w:hAnsi="Helvetica" w:cs="宋体"/>
          <w:color w:val="5F5F5F"/>
          <w:kern w:val="0"/>
          <w:sz w:val="20"/>
          <w:szCs w:val="20"/>
        </w:rPr>
        <w:lastRenderedPageBreak/>
        <w:t>未进行该项实验且无可靠参考文献。</w:t>
      </w:r>
    </w:p>
    <w:p w:rsidR="00996AFC" w:rsidRPr="00996AFC" w:rsidRDefault="00996AFC" w:rsidP="00996AFC">
      <w:pPr>
        <w:widowControl/>
        <w:pBdr>
          <w:top w:val="single" w:sz="6" w:space="10" w:color="E3E3E3"/>
        </w:pBdr>
        <w:jc w:val="left"/>
        <w:rPr>
          <w:rFonts w:ascii="Helvetica" w:eastAsia="宋体" w:hAnsi="Helvetica" w:cs="宋体"/>
          <w:b/>
          <w:bCs/>
          <w:color w:val="545454"/>
          <w:kern w:val="0"/>
          <w:sz w:val="21"/>
          <w:szCs w:val="21"/>
        </w:rPr>
      </w:pPr>
      <w:r w:rsidRPr="00996AFC">
        <w:rPr>
          <w:rFonts w:ascii="Helvetica" w:eastAsia="宋体" w:hAnsi="Helvetica" w:cs="宋体"/>
          <w:b/>
          <w:bCs/>
          <w:color w:val="545454"/>
          <w:kern w:val="0"/>
          <w:sz w:val="21"/>
        </w:rPr>
        <w:t>注意事项</w:t>
      </w:r>
      <w:r w:rsidRPr="00996AFC">
        <w:rPr>
          <w:rFonts w:ascii="Helvetica" w:eastAsia="宋体" w:hAnsi="Helvetica" w:cs="宋体"/>
          <w:b/>
          <w:bCs/>
          <w:color w:val="545454"/>
          <w:kern w:val="0"/>
          <w:sz w:val="21"/>
        </w:rPr>
        <w:t>:</w:t>
      </w:r>
    </w:p>
    <w:p w:rsidR="00996AFC" w:rsidRPr="00996AFC" w:rsidRDefault="00996AFC" w:rsidP="00996AFC">
      <w:pPr>
        <w:widowControl/>
        <w:numPr>
          <w:ilvl w:val="0"/>
          <w:numId w:val="5"/>
        </w:numPr>
        <w:ind w:left="1455"/>
        <w:jc w:val="left"/>
        <w:rPr>
          <w:rFonts w:ascii="Helvetica" w:eastAsia="宋体" w:hAnsi="Helvetica" w:cs="宋体"/>
          <w:color w:val="5F5F5F"/>
          <w:kern w:val="0"/>
          <w:sz w:val="20"/>
          <w:szCs w:val="20"/>
        </w:rPr>
      </w:pPr>
      <w:r w:rsidRPr="00996AFC">
        <w:rPr>
          <w:rFonts w:ascii="Helvetica" w:eastAsia="宋体" w:hAnsi="Helvetica" w:cs="宋体"/>
          <w:color w:val="5F5F5F"/>
          <w:kern w:val="0"/>
          <w:sz w:val="20"/>
          <w:szCs w:val="20"/>
        </w:rPr>
        <w:t>本品性状发生改变时，禁止使用。</w:t>
      </w:r>
      <w:r w:rsidRPr="00996AFC">
        <w:rPr>
          <w:rFonts w:ascii="Helvetica" w:eastAsia="宋体" w:hAnsi="Helvetica" w:cs="宋体"/>
          <w:color w:val="5F5F5F"/>
          <w:kern w:val="0"/>
          <w:sz w:val="20"/>
          <w:szCs w:val="20"/>
        </w:rPr>
        <w:t> </w:t>
      </w:r>
    </w:p>
    <w:p w:rsidR="00996AFC" w:rsidRPr="00996AFC" w:rsidRDefault="00996AFC" w:rsidP="00996AFC">
      <w:pPr>
        <w:widowControl/>
        <w:numPr>
          <w:ilvl w:val="0"/>
          <w:numId w:val="5"/>
        </w:numPr>
        <w:ind w:left="1455"/>
        <w:jc w:val="left"/>
        <w:rPr>
          <w:rFonts w:ascii="Helvetica" w:eastAsia="宋体" w:hAnsi="Helvetica" w:cs="宋体"/>
          <w:color w:val="5F5F5F"/>
          <w:kern w:val="0"/>
          <w:sz w:val="20"/>
          <w:szCs w:val="20"/>
        </w:rPr>
      </w:pPr>
      <w:r w:rsidRPr="00996AFC">
        <w:rPr>
          <w:rFonts w:ascii="Helvetica" w:eastAsia="宋体" w:hAnsi="Helvetica" w:cs="宋体"/>
          <w:color w:val="5F5F5F"/>
          <w:kern w:val="0"/>
          <w:sz w:val="20"/>
          <w:szCs w:val="20"/>
        </w:rPr>
        <w:t>本品在加入</w:t>
      </w:r>
      <w:r w:rsidRPr="00996AFC">
        <w:rPr>
          <w:rFonts w:ascii="Helvetica" w:eastAsia="宋体" w:hAnsi="Helvetica" w:cs="宋体"/>
          <w:color w:val="5F5F5F"/>
          <w:kern w:val="0"/>
          <w:sz w:val="20"/>
          <w:szCs w:val="20"/>
        </w:rPr>
        <w:t>0.9%</w:t>
      </w:r>
      <w:r w:rsidRPr="00996AFC">
        <w:rPr>
          <w:rFonts w:ascii="Helvetica" w:eastAsia="宋体" w:hAnsi="Helvetica" w:cs="宋体"/>
          <w:color w:val="5F5F5F"/>
          <w:kern w:val="0"/>
          <w:sz w:val="20"/>
          <w:szCs w:val="20"/>
        </w:rPr>
        <w:t>氯化钠注射液或</w:t>
      </w:r>
      <w:r w:rsidRPr="00996AFC">
        <w:rPr>
          <w:rFonts w:ascii="Helvetica" w:eastAsia="宋体" w:hAnsi="Helvetica" w:cs="宋体"/>
          <w:color w:val="5F5F5F"/>
          <w:kern w:val="0"/>
          <w:sz w:val="20"/>
          <w:szCs w:val="20"/>
        </w:rPr>
        <w:t>5%</w:t>
      </w:r>
      <w:r w:rsidRPr="00996AFC">
        <w:rPr>
          <w:rFonts w:ascii="Helvetica" w:eastAsia="宋体" w:hAnsi="Helvetica" w:cs="宋体"/>
          <w:color w:val="5F5F5F"/>
          <w:kern w:val="0"/>
          <w:sz w:val="20"/>
          <w:szCs w:val="20"/>
        </w:rPr>
        <w:t>葡萄糖注射液中稀释混合后不得冷藏。</w:t>
      </w:r>
      <w:r w:rsidRPr="00996AFC">
        <w:rPr>
          <w:rFonts w:ascii="Helvetica" w:eastAsia="宋体" w:hAnsi="Helvetica" w:cs="宋体"/>
          <w:color w:val="5F5F5F"/>
          <w:kern w:val="0"/>
          <w:sz w:val="20"/>
          <w:szCs w:val="20"/>
        </w:rPr>
        <w:t> </w:t>
      </w:r>
    </w:p>
    <w:p w:rsidR="00996AFC" w:rsidRPr="00996AFC" w:rsidRDefault="00996AFC" w:rsidP="00996AFC">
      <w:pPr>
        <w:widowControl/>
        <w:numPr>
          <w:ilvl w:val="0"/>
          <w:numId w:val="5"/>
        </w:numPr>
        <w:ind w:left="1455"/>
        <w:jc w:val="left"/>
        <w:rPr>
          <w:rFonts w:ascii="Helvetica" w:eastAsia="宋体" w:hAnsi="Helvetica" w:cs="宋体"/>
          <w:color w:val="5F5F5F"/>
          <w:kern w:val="0"/>
          <w:sz w:val="20"/>
          <w:szCs w:val="20"/>
        </w:rPr>
      </w:pPr>
      <w:r w:rsidRPr="00996AFC">
        <w:rPr>
          <w:rFonts w:ascii="Helvetica" w:eastAsia="宋体" w:hAnsi="Helvetica" w:cs="宋体"/>
          <w:color w:val="5F5F5F"/>
          <w:kern w:val="0"/>
          <w:sz w:val="20"/>
          <w:szCs w:val="20"/>
        </w:rPr>
        <w:t>注射时需仔细操作避免药液渗出血管外引起不必要的伤害。</w:t>
      </w:r>
      <w:r w:rsidRPr="00996AFC">
        <w:rPr>
          <w:rFonts w:ascii="Helvetica" w:eastAsia="宋体" w:hAnsi="Helvetica" w:cs="宋体"/>
          <w:color w:val="5F5F5F"/>
          <w:kern w:val="0"/>
          <w:sz w:val="20"/>
          <w:szCs w:val="20"/>
        </w:rPr>
        <w:t> </w:t>
      </w:r>
    </w:p>
    <w:p w:rsidR="00996AFC" w:rsidRPr="00996AFC" w:rsidRDefault="00996AFC" w:rsidP="00996AFC">
      <w:pPr>
        <w:widowControl/>
        <w:numPr>
          <w:ilvl w:val="0"/>
          <w:numId w:val="5"/>
        </w:numPr>
        <w:ind w:left="1455"/>
        <w:jc w:val="left"/>
        <w:rPr>
          <w:rFonts w:ascii="Helvetica" w:eastAsia="宋体" w:hAnsi="Helvetica" w:cs="宋体"/>
          <w:color w:val="5F5F5F"/>
          <w:kern w:val="0"/>
          <w:sz w:val="20"/>
          <w:szCs w:val="20"/>
        </w:rPr>
      </w:pPr>
      <w:r w:rsidRPr="00996AFC">
        <w:rPr>
          <w:rFonts w:ascii="Helvetica" w:eastAsia="宋体" w:hAnsi="Helvetica" w:cs="宋体"/>
          <w:color w:val="5F5F5F"/>
          <w:kern w:val="0"/>
          <w:sz w:val="20"/>
          <w:szCs w:val="20"/>
        </w:rPr>
        <w:t>用药期间不得从事操作机械或驾驶机动车辆等。</w:t>
      </w:r>
      <w:r w:rsidRPr="00996AFC">
        <w:rPr>
          <w:rFonts w:ascii="Helvetica" w:eastAsia="宋体" w:hAnsi="Helvetica" w:cs="宋体"/>
          <w:color w:val="5F5F5F"/>
          <w:kern w:val="0"/>
          <w:sz w:val="20"/>
          <w:szCs w:val="20"/>
        </w:rPr>
        <w:t> </w:t>
      </w:r>
    </w:p>
    <w:p w:rsidR="00996AFC" w:rsidRPr="00996AFC" w:rsidRDefault="00996AFC" w:rsidP="00996AFC">
      <w:pPr>
        <w:widowControl/>
        <w:numPr>
          <w:ilvl w:val="0"/>
          <w:numId w:val="5"/>
        </w:numPr>
        <w:ind w:left="1455"/>
        <w:jc w:val="left"/>
        <w:rPr>
          <w:rFonts w:ascii="Helvetica" w:eastAsia="宋体" w:hAnsi="Helvetica" w:cs="宋体"/>
          <w:color w:val="5F5F5F"/>
          <w:kern w:val="0"/>
          <w:sz w:val="20"/>
          <w:szCs w:val="20"/>
        </w:rPr>
      </w:pPr>
      <w:r w:rsidRPr="00996AFC">
        <w:rPr>
          <w:rFonts w:ascii="Helvetica" w:eastAsia="宋体" w:hAnsi="Helvetica" w:cs="宋体"/>
          <w:color w:val="5F5F5F"/>
          <w:kern w:val="0"/>
          <w:sz w:val="20"/>
          <w:szCs w:val="20"/>
        </w:rPr>
        <w:t>静脉注射速度不宜过快。</w:t>
      </w:r>
    </w:p>
    <w:p w:rsidR="00996AFC" w:rsidRPr="00996AFC" w:rsidRDefault="00996AFC" w:rsidP="00996AFC">
      <w:pPr>
        <w:widowControl/>
        <w:pBdr>
          <w:top w:val="single" w:sz="6" w:space="10" w:color="E3E3E3"/>
        </w:pBdr>
        <w:jc w:val="left"/>
        <w:rPr>
          <w:rFonts w:ascii="Helvetica" w:eastAsia="宋体" w:hAnsi="Helvetica" w:cs="宋体"/>
          <w:b/>
          <w:bCs/>
          <w:color w:val="545454"/>
          <w:kern w:val="0"/>
          <w:sz w:val="21"/>
          <w:szCs w:val="21"/>
        </w:rPr>
      </w:pPr>
      <w:r w:rsidRPr="00996AFC">
        <w:rPr>
          <w:rFonts w:ascii="Helvetica" w:eastAsia="宋体" w:hAnsi="Helvetica" w:cs="宋体"/>
          <w:b/>
          <w:bCs/>
          <w:color w:val="545454"/>
          <w:kern w:val="0"/>
          <w:sz w:val="21"/>
        </w:rPr>
        <w:t>药物相互作用</w:t>
      </w:r>
      <w:r w:rsidRPr="00996AFC">
        <w:rPr>
          <w:rFonts w:ascii="Helvetica" w:eastAsia="宋体" w:hAnsi="Helvetica" w:cs="宋体"/>
          <w:b/>
          <w:bCs/>
          <w:color w:val="545454"/>
          <w:kern w:val="0"/>
          <w:sz w:val="21"/>
        </w:rPr>
        <w:t>:</w:t>
      </w:r>
    </w:p>
    <w:p w:rsidR="00996AFC" w:rsidRPr="00996AFC" w:rsidRDefault="00996AFC" w:rsidP="00996AFC">
      <w:pPr>
        <w:widowControl/>
        <w:spacing w:after="375"/>
        <w:ind w:left="1455"/>
        <w:jc w:val="left"/>
        <w:rPr>
          <w:rFonts w:ascii="Helvetica" w:eastAsia="宋体" w:hAnsi="Helvetica" w:cs="宋体"/>
          <w:color w:val="5F5F5F"/>
          <w:kern w:val="0"/>
          <w:sz w:val="20"/>
          <w:szCs w:val="20"/>
        </w:rPr>
      </w:pPr>
      <w:r w:rsidRPr="00996AFC">
        <w:rPr>
          <w:rFonts w:ascii="Helvetica" w:eastAsia="宋体" w:hAnsi="Helvetica" w:cs="宋体"/>
          <w:color w:val="5F5F5F"/>
          <w:kern w:val="0"/>
          <w:sz w:val="20"/>
          <w:szCs w:val="20"/>
        </w:rPr>
        <w:t>不宜与全身麻醉药、催眠药、安定类和含有乙醇类药合用。</w:t>
      </w:r>
    </w:p>
    <w:p w:rsidR="00944AB8" w:rsidRPr="00996AFC" w:rsidRDefault="00944AB8" w:rsidP="003C189F">
      <w:pPr>
        <w:spacing w:line="200" w:lineRule="exact"/>
      </w:pPr>
    </w:p>
    <w:sectPr w:rsidR="00944AB8" w:rsidRPr="00996AFC" w:rsidSect="00A47B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A02" w:rsidRDefault="005D0A02" w:rsidP="004700D8">
      <w:r>
        <w:separator/>
      </w:r>
    </w:p>
  </w:endnote>
  <w:endnote w:type="continuationSeparator" w:id="0">
    <w:p w:rsidR="005D0A02" w:rsidRDefault="005D0A02" w:rsidP="004700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新魏">
    <w:panose1 w:val="0201080004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A02" w:rsidRDefault="005D0A02" w:rsidP="004700D8">
      <w:r>
        <w:separator/>
      </w:r>
    </w:p>
  </w:footnote>
  <w:footnote w:type="continuationSeparator" w:id="0">
    <w:p w:rsidR="005D0A02" w:rsidRDefault="005D0A02" w:rsidP="004700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E56" w:rsidRDefault="005C1E5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300F1"/>
    <w:multiLevelType w:val="multilevel"/>
    <w:tmpl w:val="A0DA3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5E730C"/>
    <w:multiLevelType w:val="multilevel"/>
    <w:tmpl w:val="E3B4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242108"/>
    <w:multiLevelType w:val="multilevel"/>
    <w:tmpl w:val="CD085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C41DC3"/>
    <w:multiLevelType w:val="multilevel"/>
    <w:tmpl w:val="FA9E1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54005B"/>
    <w:multiLevelType w:val="multilevel"/>
    <w:tmpl w:val="C7384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00D8"/>
    <w:rsid w:val="000C311C"/>
    <w:rsid w:val="003C189F"/>
    <w:rsid w:val="00430981"/>
    <w:rsid w:val="004700D8"/>
    <w:rsid w:val="004C6BAD"/>
    <w:rsid w:val="004D5438"/>
    <w:rsid w:val="005464AD"/>
    <w:rsid w:val="005C1677"/>
    <w:rsid w:val="005C1E56"/>
    <w:rsid w:val="005D0A02"/>
    <w:rsid w:val="00904E80"/>
    <w:rsid w:val="00944AB8"/>
    <w:rsid w:val="00992A9C"/>
    <w:rsid w:val="00995E0D"/>
    <w:rsid w:val="00996AFC"/>
    <w:rsid w:val="009E755C"/>
    <w:rsid w:val="00A23023"/>
    <w:rsid w:val="00A47BF5"/>
    <w:rsid w:val="00BC7C10"/>
    <w:rsid w:val="00C63D49"/>
    <w:rsid w:val="00DD6B79"/>
    <w:rsid w:val="00DE46E9"/>
    <w:rsid w:val="00E12F7C"/>
    <w:rsid w:val="00ED1BFA"/>
    <w:rsid w:val="00EF3B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0D8"/>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00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00D8"/>
    <w:rPr>
      <w:sz w:val="18"/>
      <w:szCs w:val="18"/>
    </w:rPr>
  </w:style>
  <w:style w:type="paragraph" w:styleId="a4">
    <w:name w:val="footer"/>
    <w:basedOn w:val="a"/>
    <w:link w:val="Char0"/>
    <w:uiPriority w:val="99"/>
    <w:semiHidden/>
    <w:unhideWhenUsed/>
    <w:rsid w:val="004700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00D8"/>
    <w:rPr>
      <w:sz w:val="18"/>
      <w:szCs w:val="18"/>
    </w:rPr>
  </w:style>
  <w:style w:type="table" w:styleId="a5">
    <w:name w:val="Table Grid"/>
    <w:basedOn w:val="a1"/>
    <w:uiPriority w:val="99"/>
    <w:qFormat/>
    <w:rsid w:val="004700D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DE46E9"/>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DE46E9"/>
    <w:rPr>
      <w:b/>
      <w:bCs/>
    </w:rPr>
  </w:style>
  <w:style w:type="character" w:customStyle="1" w:styleId="fl">
    <w:name w:val="fl"/>
    <w:basedOn w:val="a0"/>
    <w:rsid w:val="00ED1BFA"/>
  </w:style>
  <w:style w:type="paragraph" w:styleId="a8">
    <w:name w:val="Balloon Text"/>
    <w:basedOn w:val="a"/>
    <w:link w:val="Char1"/>
    <w:uiPriority w:val="99"/>
    <w:semiHidden/>
    <w:unhideWhenUsed/>
    <w:rsid w:val="003C189F"/>
    <w:rPr>
      <w:sz w:val="18"/>
      <w:szCs w:val="18"/>
    </w:rPr>
  </w:style>
  <w:style w:type="character" w:customStyle="1" w:styleId="Char1">
    <w:name w:val="批注框文本 Char"/>
    <w:basedOn w:val="a0"/>
    <w:link w:val="a8"/>
    <w:uiPriority w:val="99"/>
    <w:semiHidden/>
    <w:rsid w:val="003C189F"/>
    <w:rPr>
      <w:rFonts w:ascii="Calibri" w:eastAsia="仿宋_GB2312" w:hAnsi="Calibri" w:cs="Times New Roman"/>
      <w:sz w:val="18"/>
      <w:szCs w:val="18"/>
    </w:rPr>
  </w:style>
  <w:style w:type="paragraph" w:styleId="a9">
    <w:name w:val="List Paragraph"/>
    <w:basedOn w:val="a"/>
    <w:uiPriority w:val="34"/>
    <w:qFormat/>
    <w:rsid w:val="00DD6B79"/>
    <w:pPr>
      <w:ind w:firstLineChars="200" w:firstLine="420"/>
    </w:pPr>
  </w:style>
  <w:style w:type="paragraph" w:styleId="z-">
    <w:name w:val="HTML Top of Form"/>
    <w:basedOn w:val="a"/>
    <w:next w:val="a"/>
    <w:link w:val="z-Char"/>
    <w:hidden/>
    <w:uiPriority w:val="99"/>
    <w:semiHidden/>
    <w:unhideWhenUsed/>
    <w:rsid w:val="00996AFC"/>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996AFC"/>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996AFC"/>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996AFC"/>
    <w:rPr>
      <w:rFonts w:ascii="Arial" w:eastAsia="宋体" w:hAnsi="Arial" w:cs="Arial"/>
      <w:vanish/>
      <w:kern w:val="0"/>
      <w:sz w:val="16"/>
      <w:szCs w:val="16"/>
    </w:rPr>
  </w:style>
  <w:style w:type="character" w:styleId="aa">
    <w:name w:val="Hyperlink"/>
    <w:basedOn w:val="a0"/>
    <w:uiPriority w:val="99"/>
    <w:semiHidden/>
    <w:unhideWhenUsed/>
    <w:rsid w:val="00996AFC"/>
    <w:rPr>
      <w:color w:val="0000FF"/>
      <w:u w:val="single"/>
    </w:rPr>
  </w:style>
</w:styles>
</file>

<file path=word/webSettings.xml><?xml version="1.0" encoding="utf-8"?>
<w:webSettings xmlns:r="http://schemas.openxmlformats.org/officeDocument/2006/relationships" xmlns:w="http://schemas.openxmlformats.org/wordprocessingml/2006/main">
  <w:divs>
    <w:div w:id="163281288">
      <w:bodyDiv w:val="1"/>
      <w:marLeft w:val="0"/>
      <w:marRight w:val="0"/>
      <w:marTop w:val="0"/>
      <w:marBottom w:val="0"/>
      <w:divBdr>
        <w:top w:val="none" w:sz="0" w:space="0" w:color="auto"/>
        <w:left w:val="none" w:sz="0" w:space="0" w:color="auto"/>
        <w:bottom w:val="none" w:sz="0" w:space="0" w:color="auto"/>
        <w:right w:val="none" w:sz="0" w:space="0" w:color="auto"/>
      </w:divBdr>
    </w:div>
    <w:div w:id="223763218">
      <w:bodyDiv w:val="1"/>
      <w:marLeft w:val="0"/>
      <w:marRight w:val="0"/>
      <w:marTop w:val="0"/>
      <w:marBottom w:val="0"/>
      <w:divBdr>
        <w:top w:val="none" w:sz="0" w:space="0" w:color="auto"/>
        <w:left w:val="none" w:sz="0" w:space="0" w:color="auto"/>
        <w:bottom w:val="none" w:sz="0" w:space="0" w:color="auto"/>
        <w:right w:val="none" w:sz="0" w:space="0" w:color="auto"/>
      </w:divBdr>
    </w:div>
    <w:div w:id="346324788">
      <w:bodyDiv w:val="1"/>
      <w:marLeft w:val="0"/>
      <w:marRight w:val="0"/>
      <w:marTop w:val="0"/>
      <w:marBottom w:val="0"/>
      <w:divBdr>
        <w:top w:val="none" w:sz="0" w:space="0" w:color="auto"/>
        <w:left w:val="none" w:sz="0" w:space="0" w:color="auto"/>
        <w:bottom w:val="none" w:sz="0" w:space="0" w:color="auto"/>
        <w:right w:val="none" w:sz="0" w:space="0" w:color="auto"/>
      </w:divBdr>
    </w:div>
    <w:div w:id="659964884">
      <w:bodyDiv w:val="1"/>
      <w:marLeft w:val="0"/>
      <w:marRight w:val="0"/>
      <w:marTop w:val="0"/>
      <w:marBottom w:val="0"/>
      <w:divBdr>
        <w:top w:val="none" w:sz="0" w:space="0" w:color="auto"/>
        <w:left w:val="none" w:sz="0" w:space="0" w:color="auto"/>
        <w:bottom w:val="none" w:sz="0" w:space="0" w:color="auto"/>
        <w:right w:val="none" w:sz="0" w:space="0" w:color="auto"/>
      </w:divBdr>
    </w:div>
    <w:div w:id="800615723">
      <w:bodyDiv w:val="1"/>
      <w:marLeft w:val="0"/>
      <w:marRight w:val="0"/>
      <w:marTop w:val="0"/>
      <w:marBottom w:val="0"/>
      <w:divBdr>
        <w:top w:val="none" w:sz="0" w:space="0" w:color="auto"/>
        <w:left w:val="none" w:sz="0" w:space="0" w:color="auto"/>
        <w:bottom w:val="none" w:sz="0" w:space="0" w:color="auto"/>
        <w:right w:val="none" w:sz="0" w:space="0" w:color="auto"/>
      </w:divBdr>
    </w:div>
    <w:div w:id="1011645469">
      <w:bodyDiv w:val="1"/>
      <w:marLeft w:val="0"/>
      <w:marRight w:val="0"/>
      <w:marTop w:val="0"/>
      <w:marBottom w:val="0"/>
      <w:divBdr>
        <w:top w:val="none" w:sz="0" w:space="0" w:color="auto"/>
        <w:left w:val="none" w:sz="0" w:space="0" w:color="auto"/>
        <w:bottom w:val="none" w:sz="0" w:space="0" w:color="auto"/>
        <w:right w:val="none" w:sz="0" w:space="0" w:color="auto"/>
      </w:divBdr>
    </w:div>
    <w:div w:id="1079981881">
      <w:bodyDiv w:val="1"/>
      <w:marLeft w:val="0"/>
      <w:marRight w:val="0"/>
      <w:marTop w:val="0"/>
      <w:marBottom w:val="0"/>
      <w:divBdr>
        <w:top w:val="none" w:sz="0" w:space="0" w:color="auto"/>
        <w:left w:val="none" w:sz="0" w:space="0" w:color="auto"/>
        <w:bottom w:val="none" w:sz="0" w:space="0" w:color="auto"/>
        <w:right w:val="none" w:sz="0" w:space="0" w:color="auto"/>
      </w:divBdr>
    </w:div>
    <w:div w:id="1086341669">
      <w:bodyDiv w:val="1"/>
      <w:marLeft w:val="0"/>
      <w:marRight w:val="0"/>
      <w:marTop w:val="0"/>
      <w:marBottom w:val="0"/>
      <w:divBdr>
        <w:top w:val="none" w:sz="0" w:space="0" w:color="auto"/>
        <w:left w:val="none" w:sz="0" w:space="0" w:color="auto"/>
        <w:bottom w:val="none" w:sz="0" w:space="0" w:color="auto"/>
        <w:right w:val="none" w:sz="0" w:space="0" w:color="auto"/>
      </w:divBdr>
    </w:div>
    <w:div w:id="1108620338">
      <w:bodyDiv w:val="1"/>
      <w:marLeft w:val="0"/>
      <w:marRight w:val="0"/>
      <w:marTop w:val="0"/>
      <w:marBottom w:val="0"/>
      <w:divBdr>
        <w:top w:val="none" w:sz="0" w:space="0" w:color="auto"/>
        <w:left w:val="none" w:sz="0" w:space="0" w:color="auto"/>
        <w:bottom w:val="none" w:sz="0" w:space="0" w:color="auto"/>
        <w:right w:val="none" w:sz="0" w:space="0" w:color="auto"/>
      </w:divBdr>
    </w:div>
    <w:div w:id="1272515462">
      <w:bodyDiv w:val="1"/>
      <w:marLeft w:val="0"/>
      <w:marRight w:val="0"/>
      <w:marTop w:val="0"/>
      <w:marBottom w:val="0"/>
      <w:divBdr>
        <w:top w:val="none" w:sz="0" w:space="0" w:color="auto"/>
        <w:left w:val="none" w:sz="0" w:space="0" w:color="auto"/>
        <w:bottom w:val="none" w:sz="0" w:space="0" w:color="auto"/>
        <w:right w:val="none" w:sz="0" w:space="0" w:color="auto"/>
      </w:divBdr>
      <w:divsChild>
        <w:div w:id="1168400363">
          <w:marLeft w:val="0"/>
          <w:marRight w:val="0"/>
          <w:marTop w:val="0"/>
          <w:marBottom w:val="150"/>
          <w:divBdr>
            <w:top w:val="none" w:sz="0" w:space="0" w:color="auto"/>
            <w:left w:val="none" w:sz="0" w:space="0" w:color="auto"/>
            <w:bottom w:val="none" w:sz="0" w:space="0" w:color="auto"/>
            <w:right w:val="none" w:sz="0" w:space="0" w:color="auto"/>
          </w:divBdr>
          <w:divsChild>
            <w:div w:id="363602224">
              <w:marLeft w:val="0"/>
              <w:marRight w:val="0"/>
              <w:marTop w:val="0"/>
              <w:marBottom w:val="0"/>
              <w:divBdr>
                <w:top w:val="none" w:sz="0" w:space="0" w:color="auto"/>
                <w:left w:val="none" w:sz="0" w:space="0" w:color="auto"/>
                <w:bottom w:val="none" w:sz="0" w:space="0" w:color="auto"/>
                <w:right w:val="none" w:sz="0" w:space="0" w:color="auto"/>
              </w:divBdr>
              <w:divsChild>
                <w:div w:id="2016884784">
                  <w:marLeft w:val="0"/>
                  <w:marRight w:val="0"/>
                  <w:marTop w:val="0"/>
                  <w:marBottom w:val="0"/>
                  <w:divBdr>
                    <w:top w:val="none" w:sz="0" w:space="0" w:color="auto"/>
                    <w:left w:val="none" w:sz="0" w:space="0" w:color="auto"/>
                    <w:bottom w:val="none" w:sz="0" w:space="0" w:color="auto"/>
                    <w:right w:val="none" w:sz="0" w:space="0" w:color="auto"/>
                  </w:divBdr>
                  <w:divsChild>
                    <w:div w:id="1676956802">
                      <w:marLeft w:val="0"/>
                      <w:marRight w:val="0"/>
                      <w:marTop w:val="0"/>
                      <w:marBottom w:val="0"/>
                      <w:divBdr>
                        <w:top w:val="none" w:sz="0" w:space="0" w:color="auto"/>
                        <w:left w:val="none" w:sz="0" w:space="0" w:color="auto"/>
                        <w:bottom w:val="none" w:sz="0" w:space="0" w:color="auto"/>
                        <w:right w:val="none" w:sz="0" w:space="0" w:color="auto"/>
                      </w:divBdr>
                    </w:div>
                    <w:div w:id="473715825">
                      <w:marLeft w:val="0"/>
                      <w:marRight w:val="0"/>
                      <w:marTop w:val="0"/>
                      <w:marBottom w:val="0"/>
                      <w:divBdr>
                        <w:top w:val="none" w:sz="0" w:space="0" w:color="auto"/>
                        <w:left w:val="none" w:sz="0" w:space="0" w:color="auto"/>
                        <w:bottom w:val="none" w:sz="0" w:space="0" w:color="auto"/>
                        <w:right w:val="none" w:sz="0" w:space="0" w:color="auto"/>
                      </w:divBdr>
                    </w:div>
                    <w:div w:id="437726087">
                      <w:marLeft w:val="0"/>
                      <w:marRight w:val="0"/>
                      <w:marTop w:val="0"/>
                      <w:marBottom w:val="0"/>
                      <w:divBdr>
                        <w:top w:val="none" w:sz="0" w:space="0" w:color="auto"/>
                        <w:left w:val="none" w:sz="0" w:space="0" w:color="auto"/>
                        <w:bottom w:val="none" w:sz="0" w:space="0" w:color="auto"/>
                        <w:right w:val="none" w:sz="0" w:space="0" w:color="auto"/>
                      </w:divBdr>
                    </w:div>
                    <w:div w:id="1593277948">
                      <w:marLeft w:val="0"/>
                      <w:marRight w:val="0"/>
                      <w:marTop w:val="0"/>
                      <w:marBottom w:val="0"/>
                      <w:divBdr>
                        <w:top w:val="none" w:sz="0" w:space="0" w:color="auto"/>
                        <w:left w:val="none" w:sz="0" w:space="0" w:color="auto"/>
                        <w:bottom w:val="none" w:sz="0" w:space="0" w:color="auto"/>
                        <w:right w:val="none" w:sz="0" w:space="0" w:color="auto"/>
                      </w:divBdr>
                    </w:div>
                    <w:div w:id="14764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5710">
              <w:marLeft w:val="0"/>
              <w:marRight w:val="0"/>
              <w:marTop w:val="150"/>
              <w:marBottom w:val="0"/>
              <w:divBdr>
                <w:top w:val="none" w:sz="0" w:space="0" w:color="auto"/>
                <w:left w:val="none" w:sz="0" w:space="0" w:color="auto"/>
                <w:bottom w:val="none" w:sz="0" w:space="0" w:color="auto"/>
                <w:right w:val="none" w:sz="0" w:space="0" w:color="auto"/>
              </w:divBdr>
            </w:div>
          </w:divsChild>
        </w:div>
        <w:div w:id="218518025">
          <w:marLeft w:val="0"/>
          <w:marRight w:val="0"/>
          <w:marTop w:val="0"/>
          <w:marBottom w:val="0"/>
          <w:divBdr>
            <w:top w:val="none" w:sz="0" w:space="0" w:color="auto"/>
            <w:left w:val="none" w:sz="0" w:space="0" w:color="auto"/>
            <w:bottom w:val="none" w:sz="0" w:space="0" w:color="auto"/>
            <w:right w:val="none" w:sz="0" w:space="0" w:color="auto"/>
          </w:divBdr>
          <w:divsChild>
            <w:div w:id="643974886">
              <w:marLeft w:val="0"/>
              <w:marRight w:val="0"/>
              <w:marTop w:val="0"/>
              <w:marBottom w:val="0"/>
              <w:divBdr>
                <w:top w:val="none" w:sz="0" w:space="0" w:color="auto"/>
                <w:left w:val="none" w:sz="0" w:space="0" w:color="auto"/>
                <w:bottom w:val="none" w:sz="0" w:space="0" w:color="auto"/>
                <w:right w:val="none" w:sz="0" w:space="0" w:color="auto"/>
              </w:divBdr>
              <w:divsChild>
                <w:div w:id="524290183">
                  <w:marLeft w:val="0"/>
                  <w:marRight w:val="3900"/>
                  <w:marTop w:val="0"/>
                  <w:marBottom w:val="0"/>
                  <w:divBdr>
                    <w:top w:val="none" w:sz="0" w:space="0" w:color="auto"/>
                    <w:left w:val="none" w:sz="0" w:space="0" w:color="auto"/>
                    <w:bottom w:val="none" w:sz="0" w:space="0" w:color="auto"/>
                    <w:right w:val="none" w:sz="0" w:space="0" w:color="auto"/>
                  </w:divBdr>
                  <w:divsChild>
                    <w:div w:id="638800756">
                      <w:marLeft w:val="735"/>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53429">
      <w:bodyDiv w:val="1"/>
      <w:marLeft w:val="0"/>
      <w:marRight w:val="0"/>
      <w:marTop w:val="0"/>
      <w:marBottom w:val="0"/>
      <w:divBdr>
        <w:top w:val="none" w:sz="0" w:space="0" w:color="auto"/>
        <w:left w:val="none" w:sz="0" w:space="0" w:color="auto"/>
        <w:bottom w:val="none" w:sz="0" w:space="0" w:color="auto"/>
        <w:right w:val="none" w:sz="0" w:space="0" w:color="auto"/>
      </w:divBdr>
    </w:div>
    <w:div w:id="1566452307">
      <w:bodyDiv w:val="1"/>
      <w:marLeft w:val="0"/>
      <w:marRight w:val="0"/>
      <w:marTop w:val="0"/>
      <w:marBottom w:val="0"/>
      <w:divBdr>
        <w:top w:val="none" w:sz="0" w:space="0" w:color="auto"/>
        <w:left w:val="none" w:sz="0" w:space="0" w:color="auto"/>
        <w:bottom w:val="none" w:sz="0" w:space="0" w:color="auto"/>
        <w:right w:val="none" w:sz="0" w:space="0" w:color="auto"/>
      </w:divBdr>
    </w:div>
    <w:div w:id="1663586454">
      <w:bodyDiv w:val="1"/>
      <w:marLeft w:val="0"/>
      <w:marRight w:val="0"/>
      <w:marTop w:val="0"/>
      <w:marBottom w:val="0"/>
      <w:divBdr>
        <w:top w:val="none" w:sz="0" w:space="0" w:color="auto"/>
        <w:left w:val="none" w:sz="0" w:space="0" w:color="auto"/>
        <w:bottom w:val="none" w:sz="0" w:space="0" w:color="auto"/>
        <w:right w:val="none" w:sz="0" w:space="0" w:color="auto"/>
      </w:divBdr>
    </w:div>
    <w:div w:id="1786150353">
      <w:bodyDiv w:val="1"/>
      <w:marLeft w:val="0"/>
      <w:marRight w:val="0"/>
      <w:marTop w:val="0"/>
      <w:marBottom w:val="0"/>
      <w:divBdr>
        <w:top w:val="none" w:sz="0" w:space="0" w:color="auto"/>
        <w:left w:val="none" w:sz="0" w:space="0" w:color="auto"/>
        <w:bottom w:val="none" w:sz="0" w:space="0" w:color="auto"/>
        <w:right w:val="none" w:sz="0" w:space="0" w:color="auto"/>
      </w:divBdr>
    </w:div>
    <w:div w:id="214646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file:///D:\ymx\&#23567;&#23401;.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6CCD5-7098-47F1-9AA5-F2BB36F4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12</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2019-04-25T23:31:00Z</dcterms:created>
  <dcterms:modified xsi:type="dcterms:W3CDTF">2020-04-24T05:04:00Z</dcterms:modified>
</cp:coreProperties>
</file>