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DF" w:rsidRDefault="00BF48DF" w:rsidP="00BF48DF">
      <w:pPr>
        <w:spacing w:line="480" w:lineRule="exact"/>
        <w:ind w:right="700"/>
        <w:contextualSpacing/>
        <w:textAlignment w:val="center"/>
        <w:rPr>
          <w:rFonts w:ascii="Times New Roman" w:eastAsia="方正小标宋简体" w:hAnsi="Times New Roman"/>
          <w:szCs w:val="32"/>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BF48DF" w:rsidRDefault="00BF48DF" w:rsidP="00BF48DF">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BF48DF" w:rsidRDefault="00BF48DF" w:rsidP="00BF48DF">
      <w:pPr>
        <w:tabs>
          <w:tab w:val="left" w:pos="4875"/>
        </w:tabs>
        <w:spacing w:line="360" w:lineRule="exact"/>
        <w:jc w:val="center"/>
        <w:rPr>
          <w:rFonts w:ascii="Times New Roman" w:hAnsi="Times New Roman"/>
        </w:rPr>
      </w:pPr>
    </w:p>
    <w:p w:rsidR="00BF48DF" w:rsidRDefault="00BF48DF" w:rsidP="00BF48DF">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 xml:space="preserve">  </w:t>
      </w:r>
      <w:r>
        <w:rPr>
          <w:rFonts w:ascii="Times New Roman" w:eastAsia="宋体" w:hAnsi="Times New Roman" w:hint="eastAsia"/>
          <w:spacing w:val="-8"/>
          <w:szCs w:val="32"/>
        </w:rPr>
        <w:t>主办：临床药学</w:t>
      </w:r>
      <w:r w:rsidR="00C1544A">
        <w:rPr>
          <w:rFonts w:ascii="Times New Roman" w:eastAsia="宋体" w:hAnsi="Times New Roman" w:hint="eastAsia"/>
          <w:spacing w:val="-8"/>
          <w:szCs w:val="32"/>
        </w:rPr>
        <w:t>室</w:t>
      </w:r>
    </w:p>
    <w:p w:rsidR="00BF48DF" w:rsidRDefault="00BF48DF" w:rsidP="00BF48DF">
      <w:pPr>
        <w:tabs>
          <w:tab w:val="left" w:pos="4875"/>
        </w:tabs>
        <w:spacing w:line="360" w:lineRule="exact"/>
        <w:jc w:val="center"/>
        <w:rPr>
          <w:rFonts w:ascii="Times New Roman" w:eastAsia="黑体" w:hAnsi="Times New Roman"/>
          <w:sz w:val="26"/>
          <w:szCs w:val="26"/>
        </w:rPr>
      </w:pPr>
    </w:p>
    <w:p w:rsidR="00BF48DF" w:rsidRDefault="00BF48DF" w:rsidP="00BF48DF">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w:t>
      </w:r>
      <w:r w:rsidR="00F24842">
        <w:rPr>
          <w:rFonts w:ascii="Times New Roman" w:eastAsia="宋体" w:hAnsi="Times New Roman" w:hint="eastAsia"/>
          <w:sz w:val="28"/>
          <w:szCs w:val="28"/>
        </w:rPr>
        <w:t>29</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w:t>
      </w:r>
      <w:r w:rsidR="00E45C39">
        <w:rPr>
          <w:rFonts w:ascii="Times New Roman" w:eastAsia="宋体" w:hAnsi="Times New Roman" w:hint="eastAsia"/>
          <w:sz w:val="28"/>
          <w:szCs w:val="28"/>
        </w:rPr>
        <w:t>8</w:t>
      </w:r>
      <w:r>
        <w:rPr>
          <w:rFonts w:ascii="Times New Roman" w:eastAsia="宋体" w:hAnsi="Times New Roman" w:hint="eastAsia"/>
          <w:sz w:val="28"/>
          <w:szCs w:val="28"/>
        </w:rPr>
        <w:t>年第</w:t>
      </w:r>
      <w:r w:rsidR="00E45C39">
        <w:rPr>
          <w:rFonts w:ascii="Times New Roman" w:eastAsia="宋体" w:hAnsi="Times New Roman" w:hint="eastAsia"/>
          <w:sz w:val="28"/>
          <w:szCs w:val="28"/>
        </w:rPr>
        <w:t>3</w:t>
      </w:r>
      <w:r>
        <w:rPr>
          <w:rFonts w:ascii="Times New Roman" w:eastAsia="宋体" w:hAnsi="Times New Roman" w:hint="eastAsia"/>
          <w:sz w:val="28"/>
          <w:szCs w:val="28"/>
        </w:rPr>
        <w:t>期</w:t>
      </w: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Pr="004F2DC6" w:rsidRDefault="00BF48DF" w:rsidP="00BF48DF">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BF48DF" w:rsidRDefault="00BF48DF" w:rsidP="00BF48DF">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w:t>
      </w:r>
      <w:r w:rsidR="00513E8B">
        <w:rPr>
          <w:rFonts w:ascii="Times New Roman" w:eastAsia="宋体" w:hAnsi="Times New Roman" w:hint="eastAsia"/>
          <w:b/>
          <w:spacing w:val="60"/>
          <w:sz w:val="36"/>
          <w:szCs w:val="36"/>
        </w:rPr>
        <w:t>八</w:t>
      </w:r>
      <w:r>
        <w:rPr>
          <w:rFonts w:ascii="Times New Roman" w:eastAsia="宋体" w:hAnsi="Times New Roman" w:hint="eastAsia"/>
          <w:b/>
          <w:spacing w:val="60"/>
          <w:sz w:val="36"/>
          <w:szCs w:val="36"/>
        </w:rPr>
        <w:t>年</w:t>
      </w:r>
      <w:r w:rsidR="00E45C39">
        <w:rPr>
          <w:rFonts w:ascii="Times New Roman" w:eastAsia="宋体" w:hAnsi="Times New Roman" w:hint="eastAsia"/>
          <w:b/>
          <w:spacing w:val="60"/>
          <w:sz w:val="36"/>
          <w:szCs w:val="36"/>
        </w:rPr>
        <w:t>九</w:t>
      </w:r>
      <w:r>
        <w:rPr>
          <w:rFonts w:ascii="Times New Roman" w:eastAsia="宋体" w:hAnsi="Times New Roman" w:hint="eastAsia"/>
          <w:b/>
          <w:spacing w:val="60"/>
          <w:sz w:val="36"/>
          <w:szCs w:val="36"/>
        </w:rPr>
        <w:t>月</w:t>
      </w:r>
    </w:p>
    <w:p w:rsidR="00BF48DF" w:rsidRDefault="00BF48DF" w:rsidP="00BF48DF">
      <w:pPr>
        <w:tabs>
          <w:tab w:val="left" w:pos="4875"/>
        </w:tabs>
        <w:jc w:val="center"/>
        <w:rPr>
          <w:rFonts w:ascii="Times New Roman" w:hAnsi="Times New Roman"/>
          <w:sz w:val="2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8960"/>
          <w:tab w:val="left" w:pos="9280"/>
        </w:tabs>
        <w:spacing w:line="460" w:lineRule="exact"/>
        <w:rPr>
          <w:rFonts w:ascii="Times New Roman" w:eastAsia="Times New Roman" w:hAnsi="Times New Roman"/>
          <w:sz w:val="40"/>
          <w:szCs w:val="44"/>
        </w:rPr>
        <w:sectPr w:rsidR="00BF48DF">
          <w:headerReference w:type="default" r:id="rId7"/>
          <w:pgSz w:w="11906" w:h="16838"/>
          <w:pgMar w:top="1985" w:right="1191" w:bottom="1134" w:left="1644" w:header="851" w:footer="1151" w:gutter="0"/>
          <w:pgNumType w:start="1"/>
          <w:cols w:space="720"/>
          <w:docGrid w:type="linesAndChars" w:linePitch="623"/>
        </w:sectPr>
      </w:pPr>
    </w:p>
    <w:p w:rsidR="00BF48DF" w:rsidRDefault="00BF48DF" w:rsidP="00BF48DF">
      <w:pPr>
        <w:tabs>
          <w:tab w:val="left" w:pos="8960"/>
          <w:tab w:val="left" w:pos="9280"/>
        </w:tabs>
        <w:spacing w:line="460" w:lineRule="exact"/>
        <w:rPr>
          <w:rFonts w:ascii="Times New Roman" w:eastAsia="Times New Roman" w:hAnsi="Times New Roman"/>
          <w:sz w:val="40"/>
          <w:szCs w:val="44"/>
        </w:rPr>
      </w:pPr>
    </w:p>
    <w:p w:rsidR="00BF48DF" w:rsidRDefault="00BF48DF" w:rsidP="00BF48DF">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BF48DF" w:rsidRDefault="00BF48DF" w:rsidP="00BF48DF">
      <w:pPr>
        <w:tabs>
          <w:tab w:val="left" w:pos="8960"/>
        </w:tabs>
        <w:spacing w:line="620" w:lineRule="exact"/>
        <w:rPr>
          <w:rFonts w:ascii="Times New Roman" w:hAnsi="Times New Roman"/>
          <w:sz w:val="28"/>
          <w:szCs w:val="28"/>
        </w:rPr>
      </w:pPr>
    </w:p>
    <w:p w:rsidR="0014055E" w:rsidRDefault="00BF48DF" w:rsidP="0014055E">
      <w:pPr>
        <w:tabs>
          <w:tab w:val="left" w:pos="8960"/>
        </w:tabs>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w:t>
      </w:r>
      <w:r w:rsidR="0093182C">
        <w:rPr>
          <w:rFonts w:ascii="宋体" w:eastAsia="宋体" w:hAnsi="宋体" w:cs="宋体" w:hint="eastAsia"/>
          <w:sz w:val="28"/>
          <w:szCs w:val="28"/>
        </w:rPr>
        <w:t>物</w:t>
      </w:r>
      <w:r w:rsidR="0014055E">
        <w:rPr>
          <w:rFonts w:ascii="宋体" w:eastAsia="宋体" w:hAnsi="宋体" w:cs="宋体" w:hint="eastAsia"/>
          <w:sz w:val="28"/>
          <w:szCs w:val="28"/>
        </w:rPr>
        <w:t>警戒</w:t>
      </w:r>
      <w:r>
        <w:rPr>
          <w:rFonts w:ascii="Times New Roman" w:hAnsi="Times New Roman" w:hint="eastAsia"/>
          <w:sz w:val="28"/>
          <w:szCs w:val="28"/>
        </w:rPr>
        <w:t>】</w:t>
      </w:r>
    </w:p>
    <w:p w:rsidR="00807B28" w:rsidRPr="00807B28" w:rsidRDefault="00807B28" w:rsidP="00807B28">
      <w:pPr>
        <w:jc w:val="left"/>
        <w:rPr>
          <w:rFonts w:ascii="宋体" w:eastAsia="宋体" w:hAnsi="宋体" w:cs="宋体"/>
          <w:sz w:val="28"/>
          <w:szCs w:val="28"/>
        </w:rPr>
      </w:pPr>
      <w:r>
        <w:rPr>
          <w:rFonts w:ascii="宋体" w:eastAsia="宋体" w:hAnsi="宋体" w:cs="宋体" w:hint="eastAsia"/>
          <w:sz w:val="28"/>
          <w:szCs w:val="28"/>
        </w:rPr>
        <w:t>1、</w:t>
      </w:r>
      <w:r w:rsidRPr="00807B28">
        <w:rPr>
          <w:rFonts w:ascii="宋体" w:eastAsia="宋体" w:hAnsi="宋体" w:cs="宋体" w:hint="eastAsia"/>
          <w:sz w:val="28"/>
          <w:szCs w:val="28"/>
        </w:rPr>
        <w:t>美国要求修改全身用氟喹诺酮类药品说明书警示低血糖和精神异常副作用</w:t>
      </w:r>
    </w:p>
    <w:p w:rsidR="00B45872" w:rsidRPr="00B45872" w:rsidRDefault="00807B28" w:rsidP="00B45872">
      <w:pPr>
        <w:rPr>
          <w:rFonts w:ascii="宋体" w:eastAsia="宋体" w:hAnsi="宋体" w:cs="宋体"/>
          <w:sz w:val="28"/>
          <w:szCs w:val="28"/>
        </w:rPr>
      </w:pPr>
      <w:r>
        <w:rPr>
          <w:rFonts w:ascii="宋体" w:eastAsia="宋体" w:hAnsi="宋体" w:cs="宋体" w:hint="eastAsia"/>
          <w:sz w:val="28"/>
          <w:szCs w:val="28"/>
        </w:rPr>
        <w:t>2、</w:t>
      </w:r>
      <w:r w:rsidR="00B45872" w:rsidRPr="00B45872">
        <w:rPr>
          <w:rFonts w:ascii="宋体" w:eastAsia="宋体" w:hAnsi="宋体" w:cs="宋体" w:hint="eastAsia"/>
          <w:sz w:val="28"/>
          <w:szCs w:val="28"/>
        </w:rPr>
        <w:t>澳大利亚对孟鲁司特采取新的风险管理措施</w:t>
      </w:r>
    </w:p>
    <w:p w:rsidR="0022448F" w:rsidRDefault="0022448F" w:rsidP="00B45872">
      <w:pPr>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B45872" w:rsidRPr="00B45872" w:rsidRDefault="00B45872" w:rsidP="00B45872">
      <w:pPr>
        <w:rPr>
          <w:rFonts w:ascii="宋体" w:eastAsia="宋体" w:hAnsi="宋体" w:cs="宋体"/>
          <w:sz w:val="28"/>
          <w:szCs w:val="28"/>
        </w:rPr>
      </w:pPr>
      <w:r w:rsidRPr="00B45872">
        <w:rPr>
          <w:rFonts w:ascii="宋体" w:eastAsia="宋体" w:hAnsi="宋体" w:cs="宋体" w:hint="eastAsia"/>
          <w:sz w:val="28"/>
          <w:szCs w:val="28"/>
        </w:rPr>
        <w:t>关注含钆对比剂反复使用引起脑部钆沉积风险</w:t>
      </w:r>
    </w:p>
    <w:p w:rsidR="00513E8B" w:rsidRDefault="00BF48DF" w:rsidP="00D061A7">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D061A7" w:rsidRDefault="00B45872" w:rsidP="00FB7347">
      <w:pPr>
        <w:tabs>
          <w:tab w:val="left" w:pos="8960"/>
        </w:tabs>
        <w:spacing w:line="620" w:lineRule="exact"/>
        <w:rPr>
          <w:rFonts w:ascii="宋体" w:eastAsia="宋体" w:hAnsi="宋体" w:cs="宋体"/>
          <w:sz w:val="28"/>
          <w:szCs w:val="28"/>
        </w:rPr>
        <w:sectPr w:rsidR="00D061A7" w:rsidSect="00800C91">
          <w:pgSz w:w="11906" w:h="16838"/>
          <w:pgMar w:top="1440" w:right="1800" w:bottom="1440" w:left="1800" w:header="851" w:footer="992" w:gutter="0"/>
          <w:cols w:space="425"/>
          <w:docGrid w:type="lines" w:linePitch="312"/>
        </w:sectPr>
      </w:pPr>
      <w:r>
        <w:rPr>
          <w:rFonts w:ascii="宋体" w:eastAsia="宋体" w:hAnsi="宋体" w:cs="宋体" w:hint="eastAsia"/>
          <w:sz w:val="28"/>
          <w:szCs w:val="28"/>
        </w:rPr>
        <w:t>丹鹿胶囊</w:t>
      </w:r>
    </w:p>
    <w:p w:rsidR="00FB7347" w:rsidRDefault="00FB7347" w:rsidP="00FB7347">
      <w:pPr>
        <w:tabs>
          <w:tab w:val="left" w:pos="8960"/>
        </w:tabs>
        <w:spacing w:line="620" w:lineRule="exact"/>
        <w:rPr>
          <w:rFonts w:ascii="Times New Roman" w:hAnsi="Times New Roman"/>
          <w:sz w:val="28"/>
          <w:szCs w:val="28"/>
        </w:rPr>
      </w:pPr>
      <w:r>
        <w:rPr>
          <w:rFonts w:ascii="宋体" w:eastAsia="宋体" w:hAnsi="宋体" w:cs="宋体" w:hint="eastAsia"/>
          <w:sz w:val="28"/>
          <w:szCs w:val="28"/>
        </w:rPr>
        <w:lastRenderedPageBreak/>
        <w:t>【药</w:t>
      </w:r>
      <w:r w:rsidR="0093182C">
        <w:rPr>
          <w:rFonts w:ascii="宋体" w:eastAsia="宋体" w:hAnsi="宋体" w:cs="宋体" w:hint="eastAsia"/>
          <w:sz w:val="28"/>
          <w:szCs w:val="28"/>
        </w:rPr>
        <w:t>物</w:t>
      </w:r>
      <w:r>
        <w:rPr>
          <w:rFonts w:ascii="宋体" w:eastAsia="宋体" w:hAnsi="宋体" w:cs="宋体" w:hint="eastAsia"/>
          <w:sz w:val="28"/>
          <w:szCs w:val="28"/>
        </w:rPr>
        <w:t>警戒</w:t>
      </w:r>
      <w:r>
        <w:rPr>
          <w:rFonts w:ascii="Times New Roman" w:hAnsi="Times New Roman" w:hint="eastAsia"/>
          <w:sz w:val="28"/>
          <w:szCs w:val="28"/>
        </w:rPr>
        <w:t>】</w:t>
      </w:r>
    </w:p>
    <w:p w:rsidR="00807B28" w:rsidRPr="00807B28" w:rsidRDefault="00807B28" w:rsidP="00807B28">
      <w:pPr>
        <w:jc w:val="center"/>
        <w:rPr>
          <w:rFonts w:ascii="黑体" w:eastAsia="黑体" w:hAnsi="黑体"/>
          <w:b/>
          <w:szCs w:val="32"/>
        </w:rPr>
      </w:pPr>
      <w:r w:rsidRPr="00807B28">
        <w:rPr>
          <w:rFonts w:ascii="黑体" w:eastAsia="黑体" w:hAnsi="黑体" w:hint="eastAsia"/>
          <w:b/>
          <w:szCs w:val="32"/>
        </w:rPr>
        <w:t>美国要求修改全身用氟喹诺酮类药品说明书警示低血糖和精神异常副作用</w:t>
      </w:r>
    </w:p>
    <w:p w:rsidR="00807B28" w:rsidRPr="00807B28" w:rsidRDefault="00807B28" w:rsidP="00807B28">
      <w:pPr>
        <w:rPr>
          <w:sz w:val="24"/>
        </w:rPr>
      </w:pPr>
      <w:r w:rsidRPr="00807B28">
        <w:rPr>
          <w:sz w:val="24"/>
        </w:rPr>
        <w:t xml:space="preserve">　　</w:t>
      </w:r>
      <w:r w:rsidRPr="00807B28">
        <w:rPr>
          <w:rFonts w:hint="eastAsia"/>
          <w:sz w:val="24"/>
        </w:rPr>
        <w:t>2018</w:t>
      </w:r>
      <w:r w:rsidRPr="00807B28">
        <w:rPr>
          <w:rFonts w:hint="eastAsia"/>
          <w:sz w:val="24"/>
        </w:rPr>
        <w:t>年</w:t>
      </w:r>
      <w:r w:rsidRPr="00807B28">
        <w:rPr>
          <w:rFonts w:hint="eastAsia"/>
          <w:sz w:val="24"/>
        </w:rPr>
        <w:t>7</w:t>
      </w:r>
      <w:r w:rsidRPr="00807B28">
        <w:rPr>
          <w:rFonts w:hint="eastAsia"/>
          <w:sz w:val="24"/>
        </w:rPr>
        <w:t>月</w:t>
      </w:r>
      <w:r w:rsidRPr="00807B28">
        <w:rPr>
          <w:rFonts w:hint="eastAsia"/>
          <w:sz w:val="24"/>
        </w:rPr>
        <w:t>10</w:t>
      </w:r>
      <w:r w:rsidRPr="00807B28">
        <w:rPr>
          <w:rFonts w:hint="eastAsia"/>
          <w:sz w:val="24"/>
        </w:rPr>
        <w:t>日，美国食品药品管理局（</w:t>
      </w:r>
      <w:r w:rsidRPr="00807B28">
        <w:rPr>
          <w:rFonts w:hint="eastAsia"/>
          <w:sz w:val="24"/>
        </w:rPr>
        <w:t>FDA</w:t>
      </w:r>
      <w:r w:rsidRPr="00807B28">
        <w:rPr>
          <w:rFonts w:hint="eastAsia"/>
          <w:sz w:val="24"/>
        </w:rPr>
        <w:t>）网站发布公告，要求修改全身用氟喹诺酮类抗生素的药品说明书，以强化警示信息，警告该类药品可能导致血糖显著降低以及精神异常副作用。</w:t>
      </w:r>
      <w:r w:rsidRPr="00807B28">
        <w:rPr>
          <w:rFonts w:hint="eastAsia"/>
          <w:sz w:val="24"/>
        </w:rPr>
        <w:t>  </w:t>
      </w:r>
    </w:p>
    <w:p w:rsidR="00807B28" w:rsidRPr="00807B28" w:rsidRDefault="00807B28" w:rsidP="00807B28">
      <w:pPr>
        <w:rPr>
          <w:sz w:val="24"/>
        </w:rPr>
      </w:pPr>
      <w:r w:rsidRPr="00807B28">
        <w:rPr>
          <w:sz w:val="24"/>
        </w:rPr>
        <w:t xml:space="preserve">　　氟喹诺酮类抗生素批准用于治疗部分严重的细菌感染，已有超过</w:t>
      </w:r>
      <w:r w:rsidRPr="00807B28">
        <w:rPr>
          <w:sz w:val="24"/>
        </w:rPr>
        <w:t>30</w:t>
      </w:r>
      <w:r w:rsidRPr="00807B28">
        <w:rPr>
          <w:sz w:val="24"/>
        </w:rPr>
        <w:t>年的使用历史。该类药品通过杀菌或阻止细菌生长发挥作用，某些感染若不治疗可扩散并导致严重的健康问题。</w:t>
      </w:r>
    </w:p>
    <w:p w:rsidR="00807B28" w:rsidRPr="00807B28" w:rsidRDefault="00807B28" w:rsidP="00807B28">
      <w:pPr>
        <w:rPr>
          <w:sz w:val="24"/>
        </w:rPr>
      </w:pPr>
      <w:r w:rsidRPr="00807B28">
        <w:rPr>
          <w:sz w:val="24"/>
        </w:rPr>
        <w:t xml:space="preserve">　　绝大多数氟喹诺酮类抗生素的说明书已经包含了血糖异常（包括高血糖和低血糖）的警告。根据氟喹诺酮类抗生素的种类，说明书的警告和注意事项部分在中枢神经系统作用项下已经描述了一系列精神异常副作用，但不同的药品之间存在差异。</w:t>
      </w:r>
    </w:p>
    <w:p w:rsidR="00807B28" w:rsidRPr="00807B28" w:rsidRDefault="00807B28" w:rsidP="00807B28">
      <w:pPr>
        <w:rPr>
          <w:sz w:val="24"/>
        </w:rPr>
      </w:pPr>
      <w:r w:rsidRPr="00807B28">
        <w:rPr>
          <w:sz w:val="24"/>
        </w:rPr>
        <w:t xml:space="preserve">　　</w:t>
      </w:r>
      <w:r w:rsidRPr="00807B28">
        <w:rPr>
          <w:sz w:val="24"/>
        </w:rPr>
        <w:t>FDA</w:t>
      </w:r>
      <w:r w:rsidRPr="00807B28">
        <w:rPr>
          <w:sz w:val="24"/>
        </w:rPr>
        <w:t>审查了提交给</w:t>
      </w:r>
      <w:r w:rsidRPr="00807B28">
        <w:rPr>
          <w:sz w:val="24"/>
        </w:rPr>
        <w:t>FDA</w:t>
      </w:r>
      <w:r w:rsidRPr="00807B28">
        <w:rPr>
          <w:sz w:val="24"/>
        </w:rPr>
        <w:t>的报告以及文献报道的病例，看似健康的患者在使用全身用氟喹诺酮药品后发生严重的情绪、行为以及血糖水平的改变。</w:t>
      </w:r>
      <w:r w:rsidRPr="00807B28">
        <w:rPr>
          <w:sz w:val="24"/>
        </w:rPr>
        <w:t>FDA</w:t>
      </w:r>
      <w:r w:rsidRPr="00807B28">
        <w:rPr>
          <w:sz w:val="24"/>
        </w:rPr>
        <w:t>要求将低血糖水平（也称为低血糖症）可导致昏迷增加进此类药品说明书，在说明书中更加突出精神异常副作用并统一描述。所有氟喹诺酮类抗生素都需要增加或更新的精神异常副作用包括：注意力障碍、定向障碍、激动、神经质、记忆减退、谵妄。</w:t>
      </w:r>
    </w:p>
    <w:p w:rsidR="00807B28" w:rsidRPr="00807B28" w:rsidRDefault="00807B28" w:rsidP="00807B28">
      <w:pPr>
        <w:rPr>
          <w:sz w:val="24"/>
        </w:rPr>
      </w:pPr>
      <w:r w:rsidRPr="00807B28">
        <w:rPr>
          <w:sz w:val="24"/>
        </w:rPr>
        <w:t xml:space="preserve">　　对患者的建议</w:t>
      </w:r>
    </w:p>
    <w:p w:rsidR="00807B28" w:rsidRPr="00807B28" w:rsidRDefault="00807B28" w:rsidP="00807B28">
      <w:pPr>
        <w:rPr>
          <w:sz w:val="24"/>
        </w:rPr>
      </w:pPr>
      <w:r w:rsidRPr="00807B28">
        <w:rPr>
          <w:sz w:val="24"/>
        </w:rPr>
        <w:t xml:space="preserve">　　在医生考虑处方抗生素时，如果正在使用抗糖尿病药物，应告知医生，如果使用氟喹诺酮时出现低血糖或相关症状也应告知医生。对于糖尿病患者，医生可能会要求加大血糖检查的频率。低血糖的早期症状和体征包括：意识模糊、心跳加速、眩晕、皮肤苍白、虚弱、出汗、异常饥饿感、颤抖、头痛、无力、烦躁、焦虑。</w:t>
      </w:r>
    </w:p>
    <w:p w:rsidR="00807B28" w:rsidRPr="00807B28" w:rsidRDefault="00807B28" w:rsidP="00807B28">
      <w:pPr>
        <w:rPr>
          <w:sz w:val="24"/>
        </w:rPr>
      </w:pPr>
      <w:r w:rsidRPr="00807B28">
        <w:rPr>
          <w:sz w:val="24"/>
        </w:rPr>
        <w:t xml:space="preserve">　　对医务人员的建议</w:t>
      </w:r>
    </w:p>
    <w:p w:rsidR="00807B28" w:rsidRPr="00807B28" w:rsidRDefault="00807B28" w:rsidP="00807B28">
      <w:pPr>
        <w:rPr>
          <w:sz w:val="24"/>
        </w:rPr>
      </w:pPr>
      <w:r w:rsidRPr="00807B28">
        <w:rPr>
          <w:sz w:val="24"/>
        </w:rPr>
        <w:t xml:space="preserve">　　应认识到低血糖可导致昏迷的风险，老年人和正在口服降糖药或使用胰岛素治疗的糖尿病患者尤其容易发生。</w:t>
      </w:r>
    </w:p>
    <w:p w:rsidR="00807B28" w:rsidRPr="00807B28" w:rsidRDefault="00807B28" w:rsidP="00807B28">
      <w:pPr>
        <w:rPr>
          <w:sz w:val="24"/>
        </w:rPr>
      </w:pPr>
      <w:r w:rsidRPr="00807B28">
        <w:rPr>
          <w:sz w:val="24"/>
        </w:rPr>
        <w:t xml:space="preserve">　　</w:t>
      </w:r>
      <w:r w:rsidRPr="00807B28">
        <w:rPr>
          <w:sz w:val="24"/>
        </w:rPr>
        <w:t>•</w:t>
      </w:r>
      <w:r w:rsidRPr="00807B28">
        <w:rPr>
          <w:sz w:val="24"/>
        </w:rPr>
        <w:t>提醒患者关于低血糖的有关症状，仔细监测患者血糖水平，如果患者有低血糖症状应与患者讨论如何治疗。</w:t>
      </w:r>
    </w:p>
    <w:p w:rsidR="00807B28" w:rsidRPr="00807B28" w:rsidRDefault="00807B28" w:rsidP="00807B28">
      <w:pPr>
        <w:rPr>
          <w:sz w:val="24"/>
        </w:rPr>
      </w:pPr>
      <w:r w:rsidRPr="00807B28">
        <w:rPr>
          <w:sz w:val="24"/>
        </w:rPr>
        <w:t xml:space="preserve">　　</w:t>
      </w:r>
      <w:r w:rsidRPr="00807B28">
        <w:rPr>
          <w:sz w:val="24"/>
        </w:rPr>
        <w:t>•</w:t>
      </w:r>
      <w:r w:rsidRPr="00807B28">
        <w:rPr>
          <w:sz w:val="24"/>
        </w:rPr>
        <w:t>告知患者关于精神异常不良反应的风险，有时可能用药一次即可发生。</w:t>
      </w:r>
    </w:p>
    <w:p w:rsidR="00807B28" w:rsidRPr="00807B28" w:rsidRDefault="00807B28" w:rsidP="00807B28">
      <w:pPr>
        <w:rPr>
          <w:sz w:val="24"/>
        </w:rPr>
      </w:pPr>
      <w:r w:rsidRPr="00807B28">
        <w:rPr>
          <w:sz w:val="24"/>
        </w:rPr>
        <w:t xml:space="preserve">　　</w:t>
      </w:r>
      <w:r w:rsidRPr="00807B28">
        <w:rPr>
          <w:sz w:val="24"/>
        </w:rPr>
        <w:t>•</w:t>
      </w:r>
      <w:r w:rsidRPr="00807B28">
        <w:rPr>
          <w:sz w:val="24"/>
        </w:rPr>
        <w:t>如果患者报告了任何中枢神经系统副作用，包括精神异常不良反应，或者血糖异常，应立即停用氟喹诺酮，如可能应改用其他非氟喹诺酮类抗生素。</w:t>
      </w:r>
    </w:p>
    <w:p w:rsidR="00807B28" w:rsidRPr="00807B28" w:rsidRDefault="00807B28" w:rsidP="00807B28">
      <w:pPr>
        <w:rPr>
          <w:sz w:val="24"/>
        </w:rPr>
      </w:pPr>
      <w:r w:rsidRPr="00807B28">
        <w:rPr>
          <w:sz w:val="24"/>
        </w:rPr>
        <w:t xml:space="preserve">　　</w:t>
      </w:r>
      <w:r w:rsidRPr="00807B28">
        <w:rPr>
          <w:sz w:val="24"/>
        </w:rPr>
        <w:t>•</w:t>
      </w:r>
      <w:r w:rsidRPr="00807B28">
        <w:rPr>
          <w:sz w:val="24"/>
        </w:rPr>
        <w:t>如果患者报告了涉及肌腱、肌肉、关节或神经的严重副作用，应立即停用氟喹诺酮，改用其他非氟喹诺酮类抗生素完成治疗。</w:t>
      </w:r>
    </w:p>
    <w:p w:rsidR="00807B28" w:rsidRPr="00807B28" w:rsidRDefault="00807B28" w:rsidP="00807B28">
      <w:pPr>
        <w:rPr>
          <w:sz w:val="24"/>
        </w:rPr>
      </w:pPr>
      <w:r w:rsidRPr="00807B28">
        <w:rPr>
          <w:sz w:val="24"/>
        </w:rPr>
        <w:t xml:space="preserve">　　对于有其他治疗选择的以下患者，医务人员不应处方氟喹诺酮类药品：急性细菌性鼻窦炎、慢性支气管炎急性发作、非复杂性尿路感染，在这些患者中使用氟喹诺酮的风险大于获益。</w:t>
      </w:r>
    </w:p>
    <w:p w:rsidR="00A623A1" w:rsidRPr="00807B28" w:rsidRDefault="00A623A1" w:rsidP="0022448F">
      <w:pPr>
        <w:spacing w:line="420" w:lineRule="exact"/>
        <w:contextualSpacing/>
        <w:jc w:val="left"/>
        <w:textAlignment w:val="center"/>
        <w:rPr>
          <w:rFonts w:ascii="宋体" w:eastAsia="宋体" w:hAnsi="宋体" w:cs="宋体"/>
          <w:sz w:val="24"/>
        </w:rPr>
      </w:pPr>
    </w:p>
    <w:p w:rsidR="0093182C" w:rsidRDefault="0093182C" w:rsidP="0022448F">
      <w:pPr>
        <w:spacing w:line="420" w:lineRule="exact"/>
        <w:contextualSpacing/>
        <w:jc w:val="left"/>
        <w:textAlignment w:val="center"/>
        <w:rPr>
          <w:rFonts w:ascii="宋体" w:eastAsia="宋体" w:hAnsi="宋体" w:cs="宋体"/>
          <w:sz w:val="24"/>
        </w:rPr>
      </w:pPr>
    </w:p>
    <w:p w:rsidR="00807B28" w:rsidRPr="00807B28" w:rsidRDefault="00807B28" w:rsidP="00807B28">
      <w:pPr>
        <w:jc w:val="center"/>
        <w:rPr>
          <w:b/>
          <w:szCs w:val="32"/>
        </w:rPr>
      </w:pPr>
      <w:r w:rsidRPr="00807B28">
        <w:rPr>
          <w:rFonts w:hint="eastAsia"/>
          <w:b/>
          <w:szCs w:val="32"/>
        </w:rPr>
        <w:lastRenderedPageBreak/>
        <w:t>澳大利亚对孟鲁司特采取新的风险管理措施</w:t>
      </w:r>
    </w:p>
    <w:p w:rsidR="00807B28" w:rsidRPr="00807B28" w:rsidRDefault="00807B28" w:rsidP="00807B28">
      <w:pPr>
        <w:rPr>
          <w:sz w:val="24"/>
        </w:rPr>
      </w:pPr>
      <w:r w:rsidRPr="00807B28">
        <w:rPr>
          <w:sz w:val="24"/>
        </w:rPr>
        <w:t xml:space="preserve">　　</w:t>
      </w:r>
      <w:r w:rsidRPr="00807B28">
        <w:rPr>
          <w:sz w:val="24"/>
        </w:rPr>
        <w:t>2018</w:t>
      </w:r>
      <w:r w:rsidRPr="00807B28">
        <w:rPr>
          <w:sz w:val="24"/>
        </w:rPr>
        <w:t>年</w:t>
      </w:r>
      <w:r w:rsidRPr="00807B28">
        <w:rPr>
          <w:sz w:val="24"/>
        </w:rPr>
        <w:t>7</w:t>
      </w:r>
      <w:r w:rsidRPr="00807B28">
        <w:rPr>
          <w:sz w:val="24"/>
        </w:rPr>
        <w:t>月</w:t>
      </w:r>
      <w:r w:rsidRPr="00807B28">
        <w:rPr>
          <w:sz w:val="24"/>
        </w:rPr>
        <w:t>12</w:t>
      </w:r>
      <w:r w:rsidRPr="00807B28">
        <w:rPr>
          <w:sz w:val="24"/>
        </w:rPr>
        <w:t>日，澳大利亚治疗产品管理局（</w:t>
      </w:r>
      <w:r w:rsidRPr="00807B28">
        <w:rPr>
          <w:sz w:val="24"/>
        </w:rPr>
        <w:t>TGA</w:t>
      </w:r>
      <w:r w:rsidRPr="00807B28">
        <w:rPr>
          <w:sz w:val="24"/>
        </w:rPr>
        <w:t>）网站发布信息，告知在进行了新的安全性评估后，计划对孟鲁司特采取额外的风险管理措施。</w:t>
      </w:r>
      <w:r w:rsidRPr="00807B28">
        <w:rPr>
          <w:sz w:val="24"/>
        </w:rPr>
        <w:t>TGA</w:t>
      </w:r>
      <w:r w:rsidRPr="00807B28">
        <w:rPr>
          <w:sz w:val="24"/>
        </w:rPr>
        <w:t>分析了</w:t>
      </w:r>
      <w:r w:rsidRPr="00807B28">
        <w:rPr>
          <w:sz w:val="24"/>
        </w:rPr>
        <w:t>2013</w:t>
      </w:r>
      <w:r w:rsidRPr="00807B28">
        <w:rPr>
          <w:sz w:val="24"/>
        </w:rPr>
        <w:t>年（上一次评估的时间）以来发表的有关文献，咨询了国际监管机构，并征求了药品咨询委员会（</w:t>
      </w:r>
      <w:r w:rsidRPr="00807B28">
        <w:rPr>
          <w:sz w:val="24"/>
        </w:rPr>
        <w:t>ACM</w:t>
      </w:r>
      <w:r w:rsidRPr="00807B28">
        <w:rPr>
          <w:sz w:val="24"/>
        </w:rPr>
        <w:t>）专家的建议。上述举措得到了澳大利亚皇家全科医学院和澳大利亚医学协会的支持。</w:t>
      </w:r>
    </w:p>
    <w:p w:rsidR="00807B28" w:rsidRPr="00807B28" w:rsidRDefault="00807B28" w:rsidP="00807B28">
      <w:pPr>
        <w:rPr>
          <w:sz w:val="24"/>
        </w:rPr>
      </w:pPr>
      <w:r w:rsidRPr="00807B28">
        <w:rPr>
          <w:sz w:val="24"/>
        </w:rPr>
        <w:t xml:space="preserve">　　孟鲁司特在澳大利亚用于成人和两岁以上儿童慢性哮喘的预防和治疗，也可以用于季节性花粉症的对症治疗。该药品</w:t>
      </w:r>
      <w:r w:rsidRPr="00807B28">
        <w:rPr>
          <w:sz w:val="24"/>
        </w:rPr>
        <w:t>1997</w:t>
      </w:r>
      <w:r w:rsidRPr="00807B28">
        <w:rPr>
          <w:sz w:val="24"/>
        </w:rPr>
        <w:t>年在澳大利亚注册上市，在药品福利计划（</w:t>
      </w:r>
      <w:r w:rsidRPr="00807B28">
        <w:rPr>
          <w:sz w:val="24"/>
        </w:rPr>
        <w:t>Pharmaceutical Benefits Scheme</w:t>
      </w:r>
      <w:r w:rsidRPr="00807B28">
        <w:rPr>
          <w:sz w:val="24"/>
        </w:rPr>
        <w:t>）里被列为治疗</w:t>
      </w:r>
      <w:r w:rsidRPr="00807B28">
        <w:rPr>
          <w:sz w:val="24"/>
        </w:rPr>
        <w:t>2</w:t>
      </w:r>
      <w:r w:rsidRPr="00807B28">
        <w:rPr>
          <w:sz w:val="24"/>
        </w:rPr>
        <w:t>至</w:t>
      </w:r>
      <w:r w:rsidRPr="00807B28">
        <w:rPr>
          <w:sz w:val="24"/>
        </w:rPr>
        <w:t>14</w:t>
      </w:r>
      <w:r w:rsidRPr="00807B28">
        <w:rPr>
          <w:sz w:val="24"/>
        </w:rPr>
        <w:t>岁儿童</w:t>
      </w:r>
      <w:r w:rsidRPr="00807B28">
        <w:rPr>
          <w:sz w:val="24"/>
        </w:rPr>
        <w:t>/</w:t>
      </w:r>
      <w:r w:rsidRPr="00807B28">
        <w:rPr>
          <w:sz w:val="24"/>
        </w:rPr>
        <w:t>青少年的轻度持续性或频繁的间歇性哮喘的单一预防用药，同时也被列为针对</w:t>
      </w:r>
      <w:r w:rsidRPr="00807B28">
        <w:rPr>
          <w:sz w:val="24"/>
        </w:rPr>
        <w:t>6</w:t>
      </w:r>
      <w:r w:rsidRPr="00807B28">
        <w:rPr>
          <w:sz w:val="24"/>
        </w:rPr>
        <w:t>至</w:t>
      </w:r>
      <w:r w:rsidRPr="00807B28">
        <w:rPr>
          <w:sz w:val="24"/>
        </w:rPr>
        <w:t>14</w:t>
      </w:r>
      <w:r w:rsidRPr="00807B28">
        <w:rPr>
          <w:sz w:val="24"/>
        </w:rPr>
        <w:t>岁儿童</w:t>
      </w:r>
      <w:r w:rsidRPr="00807B28">
        <w:rPr>
          <w:sz w:val="24"/>
        </w:rPr>
        <w:t>/</w:t>
      </w:r>
      <w:r w:rsidRPr="00807B28">
        <w:rPr>
          <w:sz w:val="24"/>
        </w:rPr>
        <w:t>青少年的运动性哮喘的预防用药。</w:t>
      </w:r>
    </w:p>
    <w:p w:rsidR="00807B28" w:rsidRPr="00807B28" w:rsidRDefault="00807B28" w:rsidP="00807B28">
      <w:pPr>
        <w:rPr>
          <w:sz w:val="24"/>
        </w:rPr>
      </w:pPr>
      <w:r w:rsidRPr="00807B28">
        <w:rPr>
          <w:sz w:val="24"/>
        </w:rPr>
        <w:t xml:space="preserve">　　孟鲁司特与神经精神系统事件（如兴奋、睡眠障碍和抑郁症）之间有已知的关联性，在罕见的情况下还包括自杀意念和行为。孟鲁司特说明书中包含了针对该风险的预防措施。</w:t>
      </w:r>
    </w:p>
    <w:p w:rsidR="00807B28" w:rsidRPr="00807B28" w:rsidRDefault="00807B28" w:rsidP="00807B28">
      <w:pPr>
        <w:rPr>
          <w:sz w:val="24"/>
        </w:rPr>
      </w:pPr>
      <w:r w:rsidRPr="00807B28">
        <w:rPr>
          <w:sz w:val="24"/>
        </w:rPr>
        <w:t xml:space="preserve">　　</w:t>
      </w:r>
      <w:r w:rsidRPr="00807B28">
        <w:rPr>
          <w:sz w:val="24"/>
        </w:rPr>
        <w:t xml:space="preserve">1. </w:t>
      </w:r>
      <w:r w:rsidRPr="00807B28">
        <w:rPr>
          <w:sz w:val="24"/>
        </w:rPr>
        <w:t>专家建议和</w:t>
      </w:r>
      <w:r w:rsidRPr="00807B28">
        <w:rPr>
          <w:sz w:val="24"/>
        </w:rPr>
        <w:t>TGA</w:t>
      </w:r>
      <w:r w:rsidRPr="00807B28">
        <w:rPr>
          <w:sz w:val="24"/>
        </w:rPr>
        <w:t>措施</w:t>
      </w:r>
    </w:p>
    <w:p w:rsidR="00807B28" w:rsidRPr="00807B28" w:rsidRDefault="00807B28" w:rsidP="00807B28">
      <w:pPr>
        <w:rPr>
          <w:sz w:val="24"/>
        </w:rPr>
      </w:pPr>
      <w:r w:rsidRPr="00807B28">
        <w:rPr>
          <w:sz w:val="24"/>
        </w:rPr>
        <w:t xml:space="preserve">　　</w:t>
      </w:r>
      <w:r w:rsidRPr="00807B28">
        <w:rPr>
          <w:sz w:val="24"/>
        </w:rPr>
        <w:t>ACM</w:t>
      </w:r>
      <w:r w:rsidRPr="00807B28">
        <w:rPr>
          <w:sz w:val="24"/>
        </w:rPr>
        <w:t>于</w:t>
      </w:r>
      <w:r w:rsidRPr="00807B28">
        <w:rPr>
          <w:sz w:val="24"/>
        </w:rPr>
        <w:t>2018</w:t>
      </w:r>
      <w:r w:rsidRPr="00807B28">
        <w:rPr>
          <w:sz w:val="24"/>
        </w:rPr>
        <w:t>年</w:t>
      </w:r>
      <w:r w:rsidRPr="00807B28">
        <w:rPr>
          <w:sz w:val="24"/>
        </w:rPr>
        <w:t>4</w:t>
      </w:r>
      <w:r w:rsidRPr="00807B28">
        <w:rPr>
          <w:sz w:val="24"/>
        </w:rPr>
        <w:t>月</w:t>
      </w:r>
      <w:r w:rsidRPr="00807B28">
        <w:rPr>
          <w:sz w:val="24"/>
        </w:rPr>
        <w:t>5</w:t>
      </w:r>
      <w:r w:rsidRPr="00807B28">
        <w:rPr>
          <w:sz w:val="24"/>
        </w:rPr>
        <w:t>日进行评估后给出以下建议：</w:t>
      </w:r>
    </w:p>
    <w:p w:rsidR="00807B28" w:rsidRPr="00807B28" w:rsidRDefault="00807B28" w:rsidP="00807B28">
      <w:pPr>
        <w:rPr>
          <w:sz w:val="24"/>
        </w:rPr>
      </w:pPr>
      <w:r w:rsidRPr="00807B28">
        <w:rPr>
          <w:sz w:val="24"/>
        </w:rPr>
        <w:t xml:space="preserve">　　</w:t>
      </w:r>
      <w:r w:rsidRPr="00807B28">
        <w:rPr>
          <w:sz w:val="24"/>
        </w:rPr>
        <w:t>1</w:t>
      </w:r>
      <w:r w:rsidRPr="00807B28">
        <w:rPr>
          <w:sz w:val="24"/>
        </w:rPr>
        <w:t>）在目前的临床实践中，对于小范围的特定人群，孟鲁司特是轻度或中度哮喘的有效一线治疗用药；</w:t>
      </w:r>
    </w:p>
    <w:p w:rsidR="00807B28" w:rsidRPr="00807B28" w:rsidRDefault="00807B28" w:rsidP="00807B28">
      <w:pPr>
        <w:rPr>
          <w:sz w:val="24"/>
        </w:rPr>
      </w:pPr>
      <w:r w:rsidRPr="00807B28">
        <w:rPr>
          <w:sz w:val="24"/>
        </w:rPr>
        <w:t xml:space="preserve">　　</w:t>
      </w:r>
      <w:r w:rsidRPr="00807B28">
        <w:rPr>
          <w:sz w:val="24"/>
        </w:rPr>
        <w:t>2</w:t>
      </w:r>
      <w:r w:rsidRPr="00807B28">
        <w:rPr>
          <w:sz w:val="24"/>
        </w:rPr>
        <w:t>）建议</w:t>
      </w:r>
      <w:r w:rsidRPr="00807B28">
        <w:rPr>
          <w:sz w:val="24"/>
        </w:rPr>
        <w:t>TGA</w:t>
      </w:r>
      <w:r w:rsidRPr="00807B28">
        <w:rPr>
          <w:sz w:val="24"/>
        </w:rPr>
        <w:t>协调有关指南制定单位，在医生和哮喘护理人员使用的相关指南文件中加入以上风险的有关内容，具体可参考澳大利亚哮喘协会（</w:t>
      </w:r>
      <w:r w:rsidRPr="00807B28">
        <w:rPr>
          <w:sz w:val="24"/>
        </w:rPr>
        <w:t>Asthma Australia</w:t>
      </w:r>
      <w:r w:rsidRPr="00807B28">
        <w:rPr>
          <w:sz w:val="24"/>
        </w:rPr>
        <w:t>）制作的仅一页篇幅的患者友好须知。同时建议与提供哮喘管理计划模板的机构取得联系，在模板中加入关于潜在神经精神系统事件咨询的提示。此外，建议将以上风险提示加入到药品包装的患者用药信息（</w:t>
      </w:r>
      <w:r w:rsidRPr="00807B28">
        <w:rPr>
          <w:sz w:val="24"/>
        </w:rPr>
        <w:t>CMI</w:t>
      </w:r>
      <w:r w:rsidRPr="00807B28">
        <w:rPr>
          <w:sz w:val="24"/>
        </w:rPr>
        <w:t>）中，并鼓励在分发药品时主动向父母或监护人提供</w:t>
      </w:r>
      <w:r w:rsidRPr="00807B28">
        <w:rPr>
          <w:sz w:val="24"/>
        </w:rPr>
        <w:t>CMI</w:t>
      </w:r>
      <w:r w:rsidRPr="00807B28">
        <w:rPr>
          <w:sz w:val="24"/>
        </w:rPr>
        <w:t>和有关咨询；</w:t>
      </w:r>
    </w:p>
    <w:p w:rsidR="00807B28" w:rsidRPr="00807B28" w:rsidRDefault="00807B28" w:rsidP="00807B28">
      <w:pPr>
        <w:rPr>
          <w:sz w:val="24"/>
        </w:rPr>
      </w:pPr>
      <w:r w:rsidRPr="00807B28">
        <w:rPr>
          <w:sz w:val="24"/>
        </w:rPr>
        <w:t xml:space="preserve">　　</w:t>
      </w:r>
      <w:r w:rsidRPr="00807B28">
        <w:rPr>
          <w:sz w:val="24"/>
        </w:rPr>
        <w:t>3</w:t>
      </w:r>
      <w:r w:rsidRPr="00807B28">
        <w:rPr>
          <w:sz w:val="24"/>
        </w:rPr>
        <w:t>）与澳大利亚儿科监测机构（</w:t>
      </w:r>
      <w:r w:rsidRPr="00807B28">
        <w:rPr>
          <w:sz w:val="24"/>
        </w:rPr>
        <w:t>APSU</w:t>
      </w:r>
      <w:r w:rsidRPr="00807B28">
        <w:rPr>
          <w:sz w:val="24"/>
        </w:rPr>
        <w:t>）建立联系，</w:t>
      </w:r>
      <w:r w:rsidRPr="00807B28">
        <w:rPr>
          <w:sz w:val="24"/>
        </w:rPr>
        <w:t>APSU</w:t>
      </w:r>
      <w:r w:rsidRPr="00807B28">
        <w:rPr>
          <w:sz w:val="24"/>
        </w:rPr>
        <w:t>可能会提供孟鲁司特和神经精神系统事件之间关联性的补充信息。</w:t>
      </w:r>
    </w:p>
    <w:p w:rsidR="00807B28" w:rsidRPr="00807B28" w:rsidRDefault="00807B28" w:rsidP="00807B28">
      <w:pPr>
        <w:rPr>
          <w:sz w:val="24"/>
        </w:rPr>
      </w:pPr>
      <w:r w:rsidRPr="00807B28">
        <w:rPr>
          <w:sz w:val="24"/>
        </w:rPr>
        <w:t xml:space="preserve">　　响应</w:t>
      </w:r>
      <w:r w:rsidRPr="00807B28">
        <w:rPr>
          <w:sz w:val="24"/>
        </w:rPr>
        <w:t>ACM</w:t>
      </w:r>
      <w:r w:rsidRPr="00807B28">
        <w:rPr>
          <w:sz w:val="24"/>
        </w:rPr>
        <w:t>的建议和安全性评估的结果，</w:t>
      </w:r>
      <w:r w:rsidRPr="00807B28">
        <w:rPr>
          <w:sz w:val="24"/>
        </w:rPr>
        <w:t>TGA</w:t>
      </w:r>
      <w:r w:rsidRPr="00807B28">
        <w:rPr>
          <w:sz w:val="24"/>
        </w:rPr>
        <w:t>采取了如下措施：</w:t>
      </w:r>
    </w:p>
    <w:p w:rsidR="00807B28" w:rsidRPr="00807B28" w:rsidRDefault="00807B28" w:rsidP="00807B28">
      <w:pPr>
        <w:rPr>
          <w:sz w:val="24"/>
        </w:rPr>
      </w:pPr>
      <w:r w:rsidRPr="00807B28">
        <w:rPr>
          <w:sz w:val="24"/>
        </w:rPr>
        <w:t xml:space="preserve">　　</w:t>
      </w:r>
      <w:r w:rsidRPr="00807B28">
        <w:rPr>
          <w:sz w:val="24"/>
        </w:rPr>
        <w:t>1</w:t>
      </w:r>
      <w:r w:rsidRPr="00807B28">
        <w:rPr>
          <w:sz w:val="24"/>
        </w:rPr>
        <w:t>）致函国家、地区卫生部门以及</w:t>
      </w:r>
      <w:r w:rsidRPr="00807B28">
        <w:rPr>
          <w:sz w:val="24"/>
        </w:rPr>
        <w:t>NPS MedicineWise</w:t>
      </w:r>
      <w:r w:rsidRPr="00807B28">
        <w:rPr>
          <w:sz w:val="24"/>
        </w:rPr>
        <w:t>、</w:t>
      </w:r>
      <w:r w:rsidRPr="00807B28">
        <w:rPr>
          <w:sz w:val="24"/>
        </w:rPr>
        <w:t>Health Direct</w:t>
      </w:r>
      <w:r w:rsidRPr="00807B28">
        <w:rPr>
          <w:sz w:val="24"/>
        </w:rPr>
        <w:t>和</w:t>
      </w:r>
      <w:r w:rsidRPr="00807B28">
        <w:rPr>
          <w:sz w:val="24"/>
        </w:rPr>
        <w:t>Therapeutic Guidelines</w:t>
      </w:r>
      <w:r w:rsidRPr="00807B28">
        <w:rPr>
          <w:sz w:val="24"/>
        </w:rPr>
        <w:t>等相关机构，正式要求在有关临床指南和教育活动中加入关于孟鲁司特和神经精神事件之间关联性的建议；</w:t>
      </w:r>
    </w:p>
    <w:p w:rsidR="00807B28" w:rsidRPr="00807B28" w:rsidRDefault="00807B28" w:rsidP="00807B28">
      <w:pPr>
        <w:rPr>
          <w:sz w:val="24"/>
        </w:rPr>
      </w:pPr>
      <w:r w:rsidRPr="00807B28">
        <w:rPr>
          <w:sz w:val="24"/>
        </w:rPr>
        <w:t xml:space="preserve">　　</w:t>
      </w:r>
      <w:r w:rsidRPr="00807B28">
        <w:rPr>
          <w:sz w:val="24"/>
        </w:rPr>
        <w:t>2</w:t>
      </w:r>
      <w:r w:rsidRPr="00807B28">
        <w:rPr>
          <w:sz w:val="24"/>
        </w:rPr>
        <w:t>）致函所有孟鲁司特生产企业，要求在</w:t>
      </w:r>
      <w:r w:rsidRPr="00807B28">
        <w:rPr>
          <w:sz w:val="24"/>
        </w:rPr>
        <w:t>CMI</w:t>
      </w:r>
      <w:r w:rsidRPr="00807B28">
        <w:rPr>
          <w:sz w:val="24"/>
        </w:rPr>
        <w:t>中加入以上信息；</w:t>
      </w:r>
    </w:p>
    <w:p w:rsidR="00807B28" w:rsidRPr="00807B28" w:rsidRDefault="00807B28" w:rsidP="00807B28">
      <w:pPr>
        <w:rPr>
          <w:sz w:val="24"/>
        </w:rPr>
      </w:pPr>
      <w:r w:rsidRPr="00807B28">
        <w:rPr>
          <w:sz w:val="24"/>
        </w:rPr>
        <w:t xml:space="preserve">　　</w:t>
      </w:r>
      <w:r w:rsidRPr="00807B28">
        <w:rPr>
          <w:sz w:val="24"/>
        </w:rPr>
        <w:t>3</w:t>
      </w:r>
      <w:r w:rsidRPr="00807B28">
        <w:rPr>
          <w:sz w:val="24"/>
        </w:rPr>
        <w:t>）联系</w:t>
      </w:r>
      <w:r w:rsidRPr="00807B28">
        <w:rPr>
          <w:sz w:val="24"/>
        </w:rPr>
        <w:t>APSU</w:t>
      </w:r>
      <w:r w:rsidRPr="00807B28">
        <w:rPr>
          <w:sz w:val="24"/>
        </w:rPr>
        <w:t>，在每月的临床医生调查中包含以上内容。</w:t>
      </w:r>
    </w:p>
    <w:p w:rsidR="00807B28" w:rsidRPr="00807B28" w:rsidRDefault="00807B28" w:rsidP="00807B28">
      <w:pPr>
        <w:rPr>
          <w:sz w:val="24"/>
        </w:rPr>
      </w:pPr>
      <w:r w:rsidRPr="00807B28">
        <w:rPr>
          <w:sz w:val="24"/>
        </w:rPr>
        <w:t xml:space="preserve">　　</w:t>
      </w:r>
      <w:r w:rsidRPr="00807B28">
        <w:rPr>
          <w:sz w:val="24"/>
        </w:rPr>
        <w:t xml:space="preserve">2. </w:t>
      </w:r>
      <w:r w:rsidRPr="00807B28">
        <w:rPr>
          <w:sz w:val="24"/>
        </w:rPr>
        <w:t>患者须知</w:t>
      </w:r>
    </w:p>
    <w:p w:rsidR="00807B28" w:rsidRPr="00807B28" w:rsidRDefault="00807B28" w:rsidP="00807B28">
      <w:pPr>
        <w:rPr>
          <w:sz w:val="24"/>
        </w:rPr>
      </w:pPr>
      <w:r w:rsidRPr="00807B28">
        <w:rPr>
          <w:sz w:val="24"/>
        </w:rPr>
        <w:t xml:space="preserve">　　若正在服用孟鲁司特，要注意神经精神事件（如兴奋、睡眠障碍和抑郁）与该药品的可能相关性。</w:t>
      </w:r>
    </w:p>
    <w:p w:rsidR="00807B28" w:rsidRPr="00807B28" w:rsidRDefault="00807B28" w:rsidP="00807B28">
      <w:pPr>
        <w:rPr>
          <w:sz w:val="24"/>
        </w:rPr>
      </w:pPr>
      <w:r w:rsidRPr="00807B28">
        <w:rPr>
          <w:sz w:val="24"/>
        </w:rPr>
        <w:t xml:space="preserve">　　若发生行为改变，请及时就医。如果患者是儿童或青少年，或症状严重（如有自杀意念或行为），须紧急就医。</w:t>
      </w:r>
    </w:p>
    <w:p w:rsidR="00807B28" w:rsidRPr="00807B28" w:rsidRDefault="00807B28" w:rsidP="00807B28">
      <w:pPr>
        <w:rPr>
          <w:sz w:val="24"/>
        </w:rPr>
      </w:pPr>
      <w:r w:rsidRPr="00807B28">
        <w:rPr>
          <w:sz w:val="24"/>
        </w:rPr>
        <w:t xml:space="preserve">　　</w:t>
      </w:r>
      <w:r w:rsidRPr="00807B28">
        <w:rPr>
          <w:sz w:val="24"/>
        </w:rPr>
        <w:t xml:space="preserve">3. </w:t>
      </w:r>
      <w:r w:rsidRPr="00807B28">
        <w:rPr>
          <w:sz w:val="24"/>
        </w:rPr>
        <w:t>医务人员须知</w:t>
      </w:r>
    </w:p>
    <w:p w:rsidR="00807B28" w:rsidRPr="00807B28" w:rsidRDefault="00807B28" w:rsidP="00807B28">
      <w:pPr>
        <w:rPr>
          <w:sz w:val="24"/>
        </w:rPr>
      </w:pPr>
      <w:r w:rsidRPr="00807B28">
        <w:rPr>
          <w:sz w:val="24"/>
        </w:rPr>
        <w:t xml:space="preserve">　　孟鲁司特与神经精神事件之间有已知的关联性，特别是在开始治疗或增加剂量时。用于儿童患者时尤其需要注意。</w:t>
      </w:r>
    </w:p>
    <w:p w:rsidR="00807B28" w:rsidRPr="00807B28" w:rsidRDefault="00807B28" w:rsidP="00807B28">
      <w:pPr>
        <w:rPr>
          <w:sz w:val="24"/>
        </w:rPr>
      </w:pPr>
      <w:r w:rsidRPr="00807B28">
        <w:rPr>
          <w:sz w:val="24"/>
        </w:rPr>
        <w:t xml:space="preserve">　　要进一步咨询并了解潜在的神经精神系统不良事件；若发生此类事件，应评估继续该药治疗的风险获益比。</w:t>
      </w:r>
    </w:p>
    <w:p w:rsidR="00807B28" w:rsidRPr="00807B28" w:rsidRDefault="00807B28" w:rsidP="00807B28">
      <w:pPr>
        <w:rPr>
          <w:sz w:val="24"/>
        </w:rPr>
      </w:pPr>
      <w:r w:rsidRPr="00807B28">
        <w:rPr>
          <w:sz w:val="24"/>
        </w:rPr>
        <w:t xml:space="preserve">　　儿童使用孟鲁司特时，需告知其监护人上述不良反应</w:t>
      </w:r>
      <w:r w:rsidRPr="00807B28">
        <w:rPr>
          <w:sz w:val="24"/>
        </w:rPr>
        <w:t>/</w:t>
      </w:r>
      <w:r w:rsidRPr="00807B28">
        <w:rPr>
          <w:sz w:val="24"/>
        </w:rPr>
        <w:t>事件的可能影响。</w:t>
      </w:r>
    </w:p>
    <w:p w:rsidR="0093182C" w:rsidRPr="00807B28" w:rsidRDefault="0093182C" w:rsidP="000E79D6">
      <w:pPr>
        <w:rPr>
          <w:sz w:val="24"/>
        </w:rPr>
        <w:sectPr w:rsidR="0093182C" w:rsidRPr="00807B28" w:rsidSect="00800C91">
          <w:pgSz w:w="11906" w:h="16838"/>
          <w:pgMar w:top="1440" w:right="1800" w:bottom="1440" w:left="1800" w:header="851" w:footer="992" w:gutter="0"/>
          <w:cols w:space="425"/>
          <w:docGrid w:type="lines" w:linePitch="312"/>
        </w:sectPr>
      </w:pPr>
    </w:p>
    <w:p w:rsidR="00A623A1" w:rsidRDefault="00A623A1" w:rsidP="00A623A1">
      <w:pPr>
        <w:jc w:val="left"/>
        <w:rPr>
          <w:rFonts w:ascii="黑体" w:eastAsia="黑体" w:hAnsi="黑体"/>
          <w:sz w:val="28"/>
          <w:szCs w:val="28"/>
        </w:rPr>
      </w:pPr>
      <w:r>
        <w:rPr>
          <w:rFonts w:ascii="黑体" w:eastAsia="黑体" w:hAnsi="黑体" w:hint="eastAsia"/>
          <w:sz w:val="28"/>
          <w:szCs w:val="28"/>
        </w:rPr>
        <w:lastRenderedPageBreak/>
        <w:t>【药品不良反应】</w:t>
      </w:r>
    </w:p>
    <w:p w:rsidR="00B45872" w:rsidRPr="00B45872" w:rsidRDefault="00B45872" w:rsidP="00B45872">
      <w:pPr>
        <w:jc w:val="center"/>
        <w:rPr>
          <w:rFonts w:ascii="黑体" w:eastAsia="黑体" w:hAnsi="黑体"/>
          <w:b/>
          <w:szCs w:val="32"/>
        </w:rPr>
      </w:pPr>
      <w:r w:rsidRPr="00B45872">
        <w:rPr>
          <w:rFonts w:ascii="黑体" w:eastAsia="黑体" w:hAnsi="黑体" w:hint="eastAsia"/>
          <w:b/>
          <w:szCs w:val="32"/>
        </w:rPr>
        <w:t>关注含钆对比剂反复使用引起脑部钆沉积风险</w:t>
      </w:r>
    </w:p>
    <w:p w:rsidR="00B45872" w:rsidRPr="00B45872" w:rsidRDefault="00B45872" w:rsidP="00B45872">
      <w:pPr>
        <w:rPr>
          <w:sz w:val="24"/>
        </w:rPr>
      </w:pPr>
      <w:r w:rsidRPr="00B45872">
        <w:rPr>
          <w:sz w:val="24"/>
        </w:rPr>
        <w:t xml:space="preserve">　　药品不良反应信息通报制度是我国药品监督管理部门为保障公众用药安全而建立的一项制度。《药品不良反应信息通报》面向社会公开发布，对推动我国药品不良反应监测工作，保障广大人民群众用药安全起了积极作用。</w:t>
      </w:r>
      <w:r w:rsidRPr="00B45872">
        <w:rPr>
          <w:sz w:val="24"/>
        </w:rPr>
        <w:br/>
      </w:r>
      <w:r w:rsidRPr="00B45872">
        <w:rPr>
          <w:sz w:val="24"/>
        </w:rPr>
        <w:t xml:space="preserve">　　《药品不良反应信息通报》国外信息版主要介绍有关国家药品监督管理部门发布的最新安全性信息，分析安全性信息发布的背景及相关技术资料，同时参考通报品种在我国临床使用情况，评估其在我国的获益</w:t>
      </w:r>
      <w:r w:rsidRPr="00B45872">
        <w:rPr>
          <w:sz w:val="24"/>
        </w:rPr>
        <w:t>/</w:t>
      </w:r>
      <w:r w:rsidRPr="00B45872">
        <w:rPr>
          <w:sz w:val="24"/>
        </w:rPr>
        <w:t>风险。发布《药品不良反应信息通报》国外信息版旨在让广大人民群众，尤其是医务工作者，全面了解和掌握最新药品不良反应监测信息，降低或避免严重不良反应的重复发生，从而为保障公众用药安全筑起一道有效屏障。</w:t>
      </w:r>
      <w:r w:rsidRPr="00B45872">
        <w:rPr>
          <w:sz w:val="24"/>
        </w:rPr>
        <w:br/>
      </w:r>
      <w:r w:rsidRPr="00B45872">
        <w:rPr>
          <w:sz w:val="24"/>
        </w:rPr>
        <w:t xml:space="preserve">　　本期通报品种为含钆对比剂，主要用于磁共振成像（</w:t>
      </w:r>
      <w:r w:rsidRPr="00B45872">
        <w:rPr>
          <w:sz w:val="24"/>
        </w:rPr>
        <w:t>MRI</w:t>
      </w:r>
      <w:r w:rsidRPr="00B45872">
        <w:rPr>
          <w:sz w:val="24"/>
        </w:rPr>
        <w:t>）检查时增强内脏器官、血管和组织的影像质量。</w:t>
      </w:r>
      <w:r w:rsidRPr="00B45872">
        <w:rPr>
          <w:sz w:val="24"/>
        </w:rPr>
        <w:t>2017</w:t>
      </w:r>
      <w:r w:rsidRPr="00B45872">
        <w:rPr>
          <w:sz w:val="24"/>
        </w:rPr>
        <w:t>年以来，美国、欧盟等国外药监部门多次发布消息，提醒在进行多次增强造影</w:t>
      </w:r>
      <w:r w:rsidRPr="00B45872">
        <w:rPr>
          <w:sz w:val="24"/>
        </w:rPr>
        <w:t>MRI</w:t>
      </w:r>
      <w:r w:rsidRPr="00B45872">
        <w:rPr>
          <w:sz w:val="24"/>
        </w:rPr>
        <w:t>扫描后，可能会造成钆在脑部的逐渐沉积。为使医务工作者、药品生产经营企业以及公众了解这类药品的安全性问题，降低用药风险，特通报此类品种。</w:t>
      </w:r>
    </w:p>
    <w:p w:rsidR="00B45872" w:rsidRPr="00B45872" w:rsidRDefault="00B45872" w:rsidP="00B45872">
      <w:pPr>
        <w:rPr>
          <w:sz w:val="24"/>
        </w:rPr>
      </w:pPr>
      <w:r w:rsidRPr="00B45872">
        <w:rPr>
          <w:sz w:val="24"/>
        </w:rPr>
        <w:t>关注含钆对比剂反复使用引起脑部钆沉积风险</w:t>
      </w:r>
    </w:p>
    <w:p w:rsidR="00B45872" w:rsidRPr="00B45872" w:rsidRDefault="00B45872" w:rsidP="00B45872">
      <w:pPr>
        <w:rPr>
          <w:sz w:val="24"/>
        </w:rPr>
      </w:pPr>
      <w:r w:rsidRPr="00B45872">
        <w:rPr>
          <w:sz w:val="24"/>
        </w:rPr>
        <w:t xml:space="preserve">　　含钆对比剂（</w:t>
      </w:r>
      <w:r w:rsidRPr="00B45872">
        <w:rPr>
          <w:sz w:val="24"/>
        </w:rPr>
        <w:t>GBCA</w:t>
      </w:r>
      <w:r w:rsidRPr="00B45872">
        <w:rPr>
          <w:sz w:val="24"/>
        </w:rPr>
        <w:t>）是一种静脉内注射药品，主要用于磁共振成像（</w:t>
      </w:r>
      <w:r w:rsidRPr="00B45872">
        <w:rPr>
          <w:sz w:val="24"/>
        </w:rPr>
        <w:t>MRI</w:t>
      </w:r>
      <w:r w:rsidRPr="00B45872">
        <w:rPr>
          <w:sz w:val="24"/>
        </w:rPr>
        <w:t>）检查时增强内脏器官、血管和组织的影像质量。</w:t>
      </w:r>
      <w:r w:rsidRPr="00B45872">
        <w:rPr>
          <w:sz w:val="24"/>
        </w:rPr>
        <w:t>GBCA</w:t>
      </w:r>
      <w:r w:rsidRPr="00B45872">
        <w:rPr>
          <w:sz w:val="24"/>
        </w:rPr>
        <w:t>含有钆元素，通过载体分子相互连接形成螯合剂。根据化学结构的不同，可分为线性和大环类，线性结构更易释放钆离子，大环类结构更稳定、更不易释放钆离子。</w:t>
      </w:r>
      <w:r w:rsidRPr="00B45872">
        <w:rPr>
          <w:sz w:val="24"/>
        </w:rPr>
        <w:br/>
      </w:r>
      <w:r w:rsidRPr="00B45872">
        <w:rPr>
          <w:sz w:val="24"/>
        </w:rPr>
        <w:t xml:space="preserve">　　目前，我国批准上市的</w:t>
      </w:r>
      <w:r w:rsidRPr="00B45872">
        <w:rPr>
          <w:sz w:val="24"/>
        </w:rPr>
        <w:t>GBCA</w:t>
      </w:r>
      <w:r w:rsidRPr="00B45872">
        <w:rPr>
          <w:sz w:val="24"/>
        </w:rPr>
        <w:t>包括线性的钆喷酸葡胺注射液、钆双胺注射液、钆贝葡胺注射液、钆塞酸二钠注射液和大环类的钆特酸葡胺注射液、钆特醇注射液、钆布醇注射液。除钆塞酸二钠注射液、钆特醇注射液、钆布醇注射液外，其他均列入《国家基本医疗保险、工伤保险和生育保险药品目录（</w:t>
      </w:r>
      <w:r w:rsidRPr="00B45872">
        <w:rPr>
          <w:sz w:val="24"/>
        </w:rPr>
        <w:t>2017</w:t>
      </w:r>
      <w:r w:rsidRPr="00B45872">
        <w:rPr>
          <w:sz w:val="24"/>
        </w:rPr>
        <w:t>年版）》，所有</w:t>
      </w:r>
      <w:r w:rsidRPr="00B45872">
        <w:rPr>
          <w:sz w:val="24"/>
        </w:rPr>
        <w:t>GBCA</w:t>
      </w:r>
      <w:r w:rsidRPr="00B45872">
        <w:rPr>
          <w:sz w:val="24"/>
        </w:rPr>
        <w:t>均没有列入《国家基本药物目录（</w:t>
      </w:r>
      <w:r w:rsidRPr="00B45872">
        <w:rPr>
          <w:sz w:val="24"/>
        </w:rPr>
        <w:t>2017</w:t>
      </w:r>
      <w:r w:rsidRPr="00B45872">
        <w:rPr>
          <w:sz w:val="24"/>
        </w:rPr>
        <w:t>年版）》。</w:t>
      </w:r>
    </w:p>
    <w:p w:rsidR="00B45872" w:rsidRPr="00B45872" w:rsidRDefault="00B45872" w:rsidP="00B45872">
      <w:pPr>
        <w:rPr>
          <w:sz w:val="24"/>
        </w:rPr>
      </w:pPr>
      <w:r w:rsidRPr="00B45872">
        <w:rPr>
          <w:sz w:val="24"/>
        </w:rPr>
        <w:t xml:space="preserve">　　一、国外监管部门关于含钆对比剂的安全性信息</w:t>
      </w:r>
    </w:p>
    <w:p w:rsidR="00B45872" w:rsidRPr="00B45872" w:rsidRDefault="00B45872" w:rsidP="00B45872">
      <w:pPr>
        <w:rPr>
          <w:sz w:val="24"/>
        </w:rPr>
      </w:pPr>
      <w:r w:rsidRPr="00B45872">
        <w:rPr>
          <w:sz w:val="24"/>
        </w:rPr>
        <w:t xml:space="preserve">　　</w:t>
      </w:r>
      <w:r w:rsidRPr="00B45872">
        <w:rPr>
          <w:sz w:val="24"/>
        </w:rPr>
        <w:t>2017</w:t>
      </w:r>
      <w:r w:rsidRPr="00B45872">
        <w:rPr>
          <w:sz w:val="24"/>
        </w:rPr>
        <w:t>年以来，美国食品药品监督管理局（</w:t>
      </w:r>
      <w:r w:rsidRPr="00B45872">
        <w:rPr>
          <w:sz w:val="24"/>
        </w:rPr>
        <w:t>FDA</w:t>
      </w:r>
      <w:r w:rsidRPr="00B45872">
        <w:rPr>
          <w:sz w:val="24"/>
        </w:rPr>
        <w:t>）、欧洲药品管理局（</w:t>
      </w:r>
      <w:r w:rsidRPr="00B45872">
        <w:rPr>
          <w:sz w:val="24"/>
        </w:rPr>
        <w:t>EMA</w:t>
      </w:r>
      <w:r w:rsidRPr="00B45872">
        <w:rPr>
          <w:sz w:val="24"/>
        </w:rPr>
        <w:t>）、加拿大卫生部等国外监管机构，相继发布了关于</w:t>
      </w:r>
      <w:r w:rsidRPr="00B45872">
        <w:rPr>
          <w:sz w:val="24"/>
        </w:rPr>
        <w:t>GBCA</w:t>
      </w:r>
      <w:r w:rsidRPr="00B45872">
        <w:rPr>
          <w:sz w:val="24"/>
        </w:rPr>
        <w:t>的安全性信息，提醒在进行多次增强造影</w:t>
      </w:r>
      <w:r w:rsidRPr="00B45872">
        <w:rPr>
          <w:sz w:val="24"/>
        </w:rPr>
        <w:t>MRI</w:t>
      </w:r>
      <w:r w:rsidRPr="00B45872">
        <w:rPr>
          <w:sz w:val="24"/>
        </w:rPr>
        <w:t>扫描后，可能会造成钆在脑部逐渐沉积的风险。</w:t>
      </w:r>
      <w:r w:rsidRPr="00B45872">
        <w:rPr>
          <w:sz w:val="24"/>
        </w:rPr>
        <w:br/>
      </w:r>
      <w:r w:rsidRPr="00B45872">
        <w:rPr>
          <w:sz w:val="24"/>
        </w:rPr>
        <w:t xml:space="preserve">　　</w:t>
      </w:r>
      <w:r w:rsidRPr="00B45872">
        <w:rPr>
          <w:sz w:val="24"/>
        </w:rPr>
        <w:t>FDA</w:t>
      </w:r>
      <w:r w:rsidRPr="00B45872">
        <w:rPr>
          <w:sz w:val="24"/>
        </w:rPr>
        <w:t>从</w:t>
      </w:r>
      <w:r w:rsidRPr="00B45872">
        <w:rPr>
          <w:sz w:val="24"/>
        </w:rPr>
        <w:t>2015</w:t>
      </w:r>
      <w:r w:rsidRPr="00B45872">
        <w:rPr>
          <w:sz w:val="24"/>
        </w:rPr>
        <w:t>年</w:t>
      </w:r>
      <w:r w:rsidRPr="00B45872">
        <w:rPr>
          <w:sz w:val="24"/>
        </w:rPr>
        <w:t>7</w:t>
      </w:r>
      <w:r w:rsidRPr="00B45872">
        <w:rPr>
          <w:sz w:val="24"/>
        </w:rPr>
        <w:t>月就开始关注</w:t>
      </w:r>
      <w:r w:rsidRPr="00B45872">
        <w:rPr>
          <w:sz w:val="24"/>
        </w:rPr>
        <w:t>GBCA</w:t>
      </w:r>
      <w:r w:rsidRPr="00B45872">
        <w:rPr>
          <w:sz w:val="24"/>
        </w:rPr>
        <w:t>钆沉积现象的潜在风险，建议医务人员应限制在必需的情况下使用，并且评估反复使用</w:t>
      </w:r>
      <w:r w:rsidRPr="00B45872">
        <w:rPr>
          <w:sz w:val="24"/>
        </w:rPr>
        <w:t>GBCA</w:t>
      </w:r>
      <w:r w:rsidRPr="00B45872">
        <w:rPr>
          <w:sz w:val="24"/>
        </w:rPr>
        <w:t>进行</w:t>
      </w:r>
      <w:r w:rsidRPr="00B45872">
        <w:rPr>
          <w:sz w:val="24"/>
        </w:rPr>
        <w:t>MRI</w:t>
      </w:r>
      <w:r w:rsidRPr="00B45872">
        <w:rPr>
          <w:sz w:val="24"/>
        </w:rPr>
        <w:t>检查的必要性。</w:t>
      </w:r>
      <w:r w:rsidRPr="00B45872">
        <w:rPr>
          <w:sz w:val="24"/>
        </w:rPr>
        <w:t>2017</w:t>
      </w:r>
      <w:r w:rsidRPr="00B45872">
        <w:rPr>
          <w:sz w:val="24"/>
        </w:rPr>
        <w:t>年</w:t>
      </w:r>
      <w:r w:rsidRPr="00B45872">
        <w:rPr>
          <w:sz w:val="24"/>
        </w:rPr>
        <w:t>5</w:t>
      </w:r>
      <w:r w:rsidRPr="00B45872">
        <w:rPr>
          <w:sz w:val="24"/>
        </w:rPr>
        <w:t>月，</w:t>
      </w:r>
      <w:r w:rsidRPr="00B45872">
        <w:rPr>
          <w:sz w:val="24"/>
        </w:rPr>
        <w:t>FDA</w:t>
      </w:r>
      <w:r w:rsidRPr="00B45872">
        <w:rPr>
          <w:sz w:val="24"/>
        </w:rPr>
        <w:t>评估了已发表研究和收集到的不良事件报告，结果显示钆可沉积在人体和动物器官中，例如脑、骨和皮肤等；研究发现线性</w:t>
      </w:r>
      <w:r w:rsidRPr="00B45872">
        <w:rPr>
          <w:sz w:val="24"/>
        </w:rPr>
        <w:t>GBCA</w:t>
      </w:r>
      <w:r w:rsidRPr="00B45872">
        <w:rPr>
          <w:sz w:val="24"/>
        </w:rPr>
        <w:t>比大环类</w:t>
      </w:r>
      <w:r w:rsidRPr="00B45872">
        <w:rPr>
          <w:sz w:val="24"/>
        </w:rPr>
        <w:t>GBCA</w:t>
      </w:r>
      <w:r w:rsidRPr="00B45872">
        <w:rPr>
          <w:sz w:val="24"/>
        </w:rPr>
        <w:t>更容易造成钆在脑部沉积。但是，</w:t>
      </w:r>
      <w:r w:rsidRPr="00B45872">
        <w:rPr>
          <w:sz w:val="24"/>
        </w:rPr>
        <w:t>FDA</w:t>
      </w:r>
      <w:r w:rsidRPr="00B45872">
        <w:rPr>
          <w:sz w:val="24"/>
        </w:rPr>
        <w:t>尚未发现与脑部钆沉积相关影响健康的不良结局。</w:t>
      </w:r>
      <w:r w:rsidRPr="00B45872">
        <w:rPr>
          <w:sz w:val="24"/>
        </w:rPr>
        <w:t>FDA</w:t>
      </w:r>
      <w:r w:rsidRPr="00B45872">
        <w:rPr>
          <w:sz w:val="24"/>
        </w:rPr>
        <w:t>在</w:t>
      </w:r>
      <w:r w:rsidRPr="00B45872">
        <w:rPr>
          <w:sz w:val="24"/>
        </w:rPr>
        <w:t>9</w:t>
      </w:r>
      <w:r w:rsidRPr="00B45872">
        <w:rPr>
          <w:sz w:val="24"/>
        </w:rPr>
        <w:t>月</w:t>
      </w:r>
      <w:r w:rsidRPr="00B45872">
        <w:rPr>
          <w:sz w:val="24"/>
        </w:rPr>
        <w:t>8</w:t>
      </w:r>
      <w:r w:rsidRPr="00B45872">
        <w:rPr>
          <w:sz w:val="24"/>
        </w:rPr>
        <w:t>日召开了公开会议，确定修改药品说明书，完善相关安全性信息。</w:t>
      </w:r>
      <w:r w:rsidRPr="00B45872">
        <w:rPr>
          <w:sz w:val="24"/>
        </w:rPr>
        <w:br/>
      </w:r>
      <w:r w:rsidRPr="00B45872">
        <w:rPr>
          <w:sz w:val="24"/>
        </w:rPr>
        <w:t xml:space="preserve">　　</w:t>
      </w:r>
      <w:r w:rsidRPr="00B45872">
        <w:rPr>
          <w:sz w:val="24"/>
        </w:rPr>
        <w:t>2017</w:t>
      </w:r>
      <w:r w:rsidRPr="00B45872">
        <w:rPr>
          <w:sz w:val="24"/>
        </w:rPr>
        <w:t>年</w:t>
      </w:r>
      <w:r w:rsidRPr="00B45872">
        <w:rPr>
          <w:sz w:val="24"/>
        </w:rPr>
        <w:t>3</w:t>
      </w:r>
      <w:r w:rsidRPr="00B45872">
        <w:rPr>
          <w:sz w:val="24"/>
        </w:rPr>
        <w:t>月，</w:t>
      </w:r>
      <w:r w:rsidRPr="00B45872">
        <w:rPr>
          <w:sz w:val="24"/>
        </w:rPr>
        <w:t>EMA</w:t>
      </w:r>
      <w:r w:rsidRPr="00B45872">
        <w:rPr>
          <w:sz w:val="24"/>
        </w:rPr>
        <w:t>药物警戒风险评估委员会（</w:t>
      </w:r>
      <w:r w:rsidRPr="00B45872">
        <w:rPr>
          <w:sz w:val="24"/>
        </w:rPr>
        <w:t>PRAC</w:t>
      </w:r>
      <w:r w:rsidRPr="00B45872">
        <w:rPr>
          <w:sz w:val="24"/>
        </w:rPr>
        <w:t>）建议暂停</w:t>
      </w:r>
      <w:r w:rsidRPr="00B45872">
        <w:rPr>
          <w:sz w:val="24"/>
        </w:rPr>
        <w:t>4</w:t>
      </w:r>
      <w:r w:rsidRPr="00B45872">
        <w:rPr>
          <w:sz w:val="24"/>
        </w:rPr>
        <w:t>种线性</w:t>
      </w:r>
      <w:r w:rsidRPr="00B45872">
        <w:rPr>
          <w:sz w:val="24"/>
        </w:rPr>
        <w:t>GBCA</w:t>
      </w:r>
      <w:r w:rsidRPr="00B45872">
        <w:rPr>
          <w:sz w:val="24"/>
        </w:rPr>
        <w:t>的上市销售，这</w:t>
      </w:r>
      <w:r w:rsidRPr="00B45872">
        <w:rPr>
          <w:sz w:val="24"/>
        </w:rPr>
        <w:t>4</w:t>
      </w:r>
      <w:r w:rsidRPr="00B45872">
        <w:rPr>
          <w:sz w:val="24"/>
        </w:rPr>
        <w:t>种均为静脉内注射药品，包括钆贝酸、钆双胺、钆喷酸和钆弗塞胺，并提交人用医药产品委员会（</w:t>
      </w:r>
      <w:r w:rsidRPr="00B45872">
        <w:rPr>
          <w:sz w:val="24"/>
        </w:rPr>
        <w:t>CHMP</w:t>
      </w:r>
      <w:r w:rsidRPr="00B45872">
        <w:rPr>
          <w:sz w:val="24"/>
        </w:rPr>
        <w:t>）进行评估。</w:t>
      </w:r>
      <w:r w:rsidRPr="00B45872">
        <w:rPr>
          <w:sz w:val="24"/>
        </w:rPr>
        <w:t>2017</w:t>
      </w:r>
      <w:r w:rsidRPr="00B45872">
        <w:rPr>
          <w:sz w:val="24"/>
        </w:rPr>
        <w:t>年</w:t>
      </w:r>
      <w:r w:rsidRPr="00B45872">
        <w:rPr>
          <w:sz w:val="24"/>
        </w:rPr>
        <w:t xml:space="preserve"> 7</w:t>
      </w:r>
      <w:r w:rsidRPr="00B45872">
        <w:rPr>
          <w:sz w:val="24"/>
        </w:rPr>
        <w:t>月，</w:t>
      </w:r>
      <w:r w:rsidRPr="00B45872">
        <w:rPr>
          <w:sz w:val="24"/>
        </w:rPr>
        <w:t>CHMP</w:t>
      </w:r>
      <w:r w:rsidRPr="00B45872">
        <w:rPr>
          <w:sz w:val="24"/>
        </w:rPr>
        <w:t>确认在使用</w:t>
      </w:r>
      <w:r w:rsidRPr="00B45872">
        <w:rPr>
          <w:sz w:val="24"/>
        </w:rPr>
        <w:t>GBCA</w:t>
      </w:r>
      <w:r w:rsidRPr="00B45872">
        <w:rPr>
          <w:sz w:val="24"/>
        </w:rPr>
        <w:t>后会造成钆在脑部组织的沉积，来自稳定性、体外及非临床研究的数据均表明，线性</w:t>
      </w:r>
      <w:r w:rsidRPr="00B45872">
        <w:rPr>
          <w:sz w:val="24"/>
        </w:rPr>
        <w:t>GBCA</w:t>
      </w:r>
      <w:r w:rsidRPr="00B45872">
        <w:rPr>
          <w:sz w:val="24"/>
        </w:rPr>
        <w:t>从配体分子释放钆的程度远大于大环类，认为部分线</w:t>
      </w:r>
      <w:r w:rsidRPr="00B45872">
        <w:rPr>
          <w:sz w:val="24"/>
        </w:rPr>
        <w:lastRenderedPageBreak/>
        <w:t>性</w:t>
      </w:r>
      <w:r w:rsidRPr="00B45872">
        <w:rPr>
          <w:sz w:val="24"/>
        </w:rPr>
        <w:t>GBCA</w:t>
      </w:r>
      <w:r w:rsidRPr="00B45872">
        <w:rPr>
          <w:sz w:val="24"/>
        </w:rPr>
        <w:t>的获益不再大于风险。尽管目前没有证据表明脑部钆沉积会对患者造成伤害，但</w:t>
      </w:r>
      <w:r w:rsidRPr="00B45872">
        <w:rPr>
          <w:sz w:val="24"/>
        </w:rPr>
        <w:t>EMA</w:t>
      </w:r>
      <w:r w:rsidRPr="00B45872">
        <w:rPr>
          <w:sz w:val="24"/>
        </w:rPr>
        <w:t>仍建议暂停钆双胺、钆喷酸和钆弗塞胺</w:t>
      </w:r>
      <w:r w:rsidRPr="00B45872">
        <w:rPr>
          <w:sz w:val="24"/>
        </w:rPr>
        <w:t>3</w:t>
      </w:r>
      <w:r w:rsidRPr="00B45872">
        <w:rPr>
          <w:sz w:val="24"/>
        </w:rPr>
        <w:t>种线性静脉注射制剂</w:t>
      </w:r>
      <w:r w:rsidRPr="00B45872">
        <w:rPr>
          <w:sz w:val="24"/>
        </w:rPr>
        <w:t>GBCA</w:t>
      </w:r>
      <w:r w:rsidRPr="00B45872">
        <w:rPr>
          <w:sz w:val="24"/>
        </w:rPr>
        <w:t>的上市。同时，建议</w:t>
      </w:r>
      <w:r w:rsidRPr="00B45872">
        <w:rPr>
          <w:sz w:val="24"/>
        </w:rPr>
        <w:t>3</w:t>
      </w:r>
      <w:r w:rsidRPr="00B45872">
        <w:rPr>
          <w:sz w:val="24"/>
        </w:rPr>
        <w:t>种线性</w:t>
      </w:r>
      <w:r w:rsidRPr="00B45872">
        <w:rPr>
          <w:sz w:val="24"/>
        </w:rPr>
        <w:t>GBCA</w:t>
      </w:r>
      <w:r w:rsidRPr="00B45872">
        <w:rPr>
          <w:sz w:val="24"/>
        </w:rPr>
        <w:t>仍可保留上市，其中钆塞酸和钆贝酸仅可在低剂量下用来进行肝扫描，以满足诊断选择较少病人的诊断需求；另外一种是直接注射到关节部位的钆喷酸，其钆浓度极低，仅约为静脉注射制剂钆浓度的</w:t>
      </w:r>
      <w:r w:rsidRPr="00B45872">
        <w:rPr>
          <w:sz w:val="24"/>
        </w:rPr>
        <w:t>1/200</w:t>
      </w:r>
      <w:r w:rsidRPr="00B45872">
        <w:rPr>
          <w:sz w:val="24"/>
        </w:rPr>
        <w:t>。这</w:t>
      </w:r>
      <w:r w:rsidRPr="00B45872">
        <w:rPr>
          <w:sz w:val="24"/>
        </w:rPr>
        <w:t>3</w:t>
      </w:r>
      <w:r w:rsidRPr="00B45872">
        <w:rPr>
          <w:sz w:val="24"/>
        </w:rPr>
        <w:t>种</w:t>
      </w:r>
      <w:r w:rsidRPr="00B45872">
        <w:rPr>
          <w:sz w:val="24"/>
        </w:rPr>
        <w:t>GBCA</w:t>
      </w:r>
      <w:r w:rsidRPr="00B45872">
        <w:rPr>
          <w:sz w:val="24"/>
        </w:rPr>
        <w:t>仅在平行扫描不适用且在达到诊断有效造影效果的最低剂量下使用。</w:t>
      </w:r>
      <w:r w:rsidRPr="00B45872">
        <w:rPr>
          <w:sz w:val="24"/>
        </w:rPr>
        <w:t>3</w:t>
      </w:r>
      <w:r w:rsidRPr="00B45872">
        <w:rPr>
          <w:sz w:val="24"/>
        </w:rPr>
        <w:t>种大环类</w:t>
      </w:r>
      <w:r w:rsidRPr="00B45872">
        <w:rPr>
          <w:sz w:val="24"/>
        </w:rPr>
        <w:t>GBCA</w:t>
      </w:r>
      <w:r w:rsidRPr="00B45872">
        <w:rPr>
          <w:sz w:val="24"/>
        </w:rPr>
        <w:t>（钆特酸、钆特醇、钆布醇）可继续在临床使用。</w:t>
      </w:r>
      <w:r w:rsidRPr="00B45872">
        <w:rPr>
          <w:sz w:val="24"/>
        </w:rPr>
        <w:br/>
      </w:r>
      <w:r w:rsidRPr="00B45872">
        <w:rPr>
          <w:sz w:val="24"/>
        </w:rPr>
        <w:t xml:space="preserve">　　</w:t>
      </w:r>
      <w:r w:rsidRPr="00B45872">
        <w:rPr>
          <w:sz w:val="24"/>
        </w:rPr>
        <w:t>2017</w:t>
      </w:r>
      <w:r w:rsidRPr="00B45872">
        <w:rPr>
          <w:sz w:val="24"/>
        </w:rPr>
        <w:t>年</w:t>
      </w:r>
      <w:r w:rsidRPr="00B45872">
        <w:rPr>
          <w:sz w:val="24"/>
        </w:rPr>
        <w:t>1</w:t>
      </w:r>
      <w:r w:rsidRPr="00B45872">
        <w:rPr>
          <w:sz w:val="24"/>
        </w:rPr>
        <w:t>月，加拿大卫生部评估认为，证据表明反复使用</w:t>
      </w:r>
      <w:r w:rsidRPr="00B45872">
        <w:rPr>
          <w:sz w:val="24"/>
        </w:rPr>
        <w:t>GBCA</w:t>
      </w:r>
      <w:r w:rsidRPr="00B45872">
        <w:rPr>
          <w:sz w:val="24"/>
        </w:rPr>
        <w:t>在</w:t>
      </w:r>
      <w:r w:rsidRPr="00B45872">
        <w:rPr>
          <w:sz w:val="24"/>
        </w:rPr>
        <w:t>MRI</w:t>
      </w:r>
      <w:r w:rsidRPr="00B45872">
        <w:rPr>
          <w:sz w:val="24"/>
        </w:rPr>
        <w:t>身体扫描后可造成钆在脑部的沉积，且线性比大环类的沉积量要高，但未收到相关的不良事件报道。加拿大正在修改</w:t>
      </w:r>
      <w:r w:rsidRPr="00B45872">
        <w:rPr>
          <w:sz w:val="24"/>
        </w:rPr>
        <w:t>GBCA</w:t>
      </w:r>
      <w:r w:rsidRPr="00B45872">
        <w:rPr>
          <w:sz w:val="24"/>
        </w:rPr>
        <w:t>药品说明书，同时建议医务人员仅在必须使用对比剂的情况下使用最低批准剂量。</w:t>
      </w:r>
    </w:p>
    <w:p w:rsidR="00B45872" w:rsidRPr="00B45872" w:rsidRDefault="00B45872" w:rsidP="00B45872">
      <w:pPr>
        <w:rPr>
          <w:sz w:val="24"/>
        </w:rPr>
      </w:pPr>
      <w:r w:rsidRPr="00B45872">
        <w:rPr>
          <w:sz w:val="24"/>
        </w:rPr>
        <w:t xml:space="preserve">　　二、</w:t>
      </w:r>
      <w:r w:rsidRPr="00B45872">
        <w:rPr>
          <w:sz w:val="24"/>
        </w:rPr>
        <w:t xml:space="preserve"> </w:t>
      </w:r>
      <w:r w:rsidRPr="00B45872">
        <w:rPr>
          <w:sz w:val="24"/>
        </w:rPr>
        <w:t>关于含钆对比剂的不良反应监测情况</w:t>
      </w:r>
    </w:p>
    <w:p w:rsidR="00B45872" w:rsidRPr="00B45872" w:rsidRDefault="00B45872" w:rsidP="00B45872">
      <w:pPr>
        <w:rPr>
          <w:sz w:val="24"/>
        </w:rPr>
      </w:pPr>
      <w:r w:rsidRPr="00B45872">
        <w:rPr>
          <w:sz w:val="24"/>
        </w:rPr>
        <w:t xml:space="preserve">　　</w:t>
      </w:r>
      <w:r w:rsidRPr="00B45872">
        <w:rPr>
          <w:sz w:val="24"/>
        </w:rPr>
        <w:t xml:space="preserve">1. </w:t>
      </w:r>
      <w:r w:rsidRPr="00B45872">
        <w:rPr>
          <w:sz w:val="24"/>
        </w:rPr>
        <w:t>我国药品不良反应数据库情况</w:t>
      </w:r>
      <w:r w:rsidRPr="00B45872">
        <w:rPr>
          <w:sz w:val="24"/>
        </w:rPr>
        <w:br/>
      </w:r>
      <w:r w:rsidRPr="00B45872">
        <w:rPr>
          <w:sz w:val="24"/>
        </w:rPr>
        <w:t xml:space="preserve">　　</w:t>
      </w:r>
      <w:r w:rsidRPr="00B45872">
        <w:rPr>
          <w:sz w:val="24"/>
        </w:rPr>
        <w:t>2004</w:t>
      </w:r>
      <w:r w:rsidRPr="00B45872">
        <w:rPr>
          <w:sz w:val="24"/>
        </w:rPr>
        <w:t>年</w:t>
      </w:r>
      <w:r w:rsidRPr="00B45872">
        <w:rPr>
          <w:sz w:val="24"/>
        </w:rPr>
        <w:t>1</w:t>
      </w:r>
      <w:r w:rsidRPr="00B45872">
        <w:rPr>
          <w:sz w:val="24"/>
        </w:rPr>
        <w:t>月</w:t>
      </w:r>
      <w:r w:rsidRPr="00B45872">
        <w:rPr>
          <w:sz w:val="24"/>
        </w:rPr>
        <w:t>1</w:t>
      </w:r>
      <w:r w:rsidRPr="00B45872">
        <w:rPr>
          <w:sz w:val="24"/>
        </w:rPr>
        <w:t>日至</w:t>
      </w:r>
      <w:r w:rsidRPr="00B45872">
        <w:rPr>
          <w:sz w:val="24"/>
        </w:rPr>
        <w:t>2017</w:t>
      </w:r>
      <w:r w:rsidRPr="00B45872">
        <w:rPr>
          <w:sz w:val="24"/>
        </w:rPr>
        <w:t>年</w:t>
      </w:r>
      <w:r w:rsidRPr="00B45872">
        <w:rPr>
          <w:sz w:val="24"/>
        </w:rPr>
        <w:t>3</w:t>
      </w:r>
      <w:r w:rsidRPr="00B45872">
        <w:rPr>
          <w:sz w:val="24"/>
        </w:rPr>
        <w:t>月</w:t>
      </w:r>
      <w:r w:rsidRPr="00B45872">
        <w:rPr>
          <w:sz w:val="24"/>
        </w:rPr>
        <w:t>31</w:t>
      </w:r>
      <w:r w:rsidRPr="00B45872">
        <w:rPr>
          <w:sz w:val="24"/>
        </w:rPr>
        <w:t>日，国家药品不良反应监测中心数据库收到</w:t>
      </w:r>
      <w:r w:rsidRPr="00B45872">
        <w:rPr>
          <w:sz w:val="24"/>
        </w:rPr>
        <w:t>GBCA</w:t>
      </w:r>
      <w:r w:rsidRPr="00B45872">
        <w:rPr>
          <w:sz w:val="24"/>
        </w:rPr>
        <w:t>病例报告</w:t>
      </w:r>
      <w:r w:rsidRPr="00B45872">
        <w:rPr>
          <w:sz w:val="24"/>
        </w:rPr>
        <w:t>2290</w:t>
      </w:r>
      <w:r w:rsidRPr="00B45872">
        <w:rPr>
          <w:sz w:val="24"/>
        </w:rPr>
        <w:t>例，其中严重报告</w:t>
      </w:r>
      <w:r w:rsidRPr="00B45872">
        <w:rPr>
          <w:sz w:val="24"/>
        </w:rPr>
        <w:t>390</w:t>
      </w:r>
      <w:r w:rsidRPr="00B45872">
        <w:rPr>
          <w:sz w:val="24"/>
        </w:rPr>
        <w:t>例，占比</w:t>
      </w:r>
      <w:r w:rsidRPr="00B45872">
        <w:rPr>
          <w:sz w:val="24"/>
        </w:rPr>
        <w:t>17.03%</w:t>
      </w:r>
      <w:r w:rsidRPr="00B45872">
        <w:rPr>
          <w:sz w:val="24"/>
        </w:rPr>
        <w:t>；死亡病例</w:t>
      </w:r>
      <w:r w:rsidRPr="00B45872">
        <w:rPr>
          <w:sz w:val="24"/>
        </w:rPr>
        <w:t>14</w:t>
      </w:r>
      <w:r w:rsidRPr="00B45872">
        <w:rPr>
          <w:sz w:val="24"/>
        </w:rPr>
        <w:t>例，占严重报告的</w:t>
      </w:r>
      <w:r w:rsidRPr="00B45872">
        <w:rPr>
          <w:sz w:val="24"/>
        </w:rPr>
        <w:t>3.59%</w:t>
      </w:r>
      <w:r w:rsidRPr="00B45872">
        <w:rPr>
          <w:sz w:val="24"/>
        </w:rPr>
        <w:t>。不良反应</w:t>
      </w:r>
      <w:r w:rsidRPr="00B45872">
        <w:rPr>
          <w:sz w:val="24"/>
        </w:rPr>
        <w:t>/</w:t>
      </w:r>
      <w:r w:rsidRPr="00B45872">
        <w:rPr>
          <w:sz w:val="24"/>
        </w:rPr>
        <w:t>事件主要累及皮肤及其附件损害、胃肠损害、免疫功能紊乱和感染、全身性损害等，主要表现为皮疹、瘙痒、荨麻疹、恶心、呕吐、过敏性休克、过敏样反应、头晕、胸闷、呼吸困难等。未收到与脑部钆沉积相关的不良反应</w:t>
      </w:r>
      <w:r w:rsidRPr="00B45872">
        <w:rPr>
          <w:sz w:val="24"/>
        </w:rPr>
        <w:t>/</w:t>
      </w:r>
      <w:r w:rsidRPr="00B45872">
        <w:rPr>
          <w:sz w:val="24"/>
        </w:rPr>
        <w:t>事件报告。</w:t>
      </w:r>
      <w:r w:rsidRPr="00B45872">
        <w:rPr>
          <w:sz w:val="24"/>
        </w:rPr>
        <w:br/>
      </w:r>
      <w:r w:rsidRPr="00B45872">
        <w:rPr>
          <w:sz w:val="24"/>
        </w:rPr>
        <w:t xml:space="preserve">　　</w:t>
      </w:r>
      <w:r w:rsidRPr="00B45872">
        <w:rPr>
          <w:sz w:val="24"/>
        </w:rPr>
        <w:t>2. WHO</w:t>
      </w:r>
      <w:r w:rsidRPr="00B45872">
        <w:rPr>
          <w:sz w:val="24"/>
        </w:rPr>
        <w:t>药品不良反应数据库情况</w:t>
      </w:r>
      <w:r w:rsidRPr="00B45872">
        <w:rPr>
          <w:sz w:val="24"/>
        </w:rPr>
        <w:br/>
      </w:r>
      <w:r w:rsidRPr="00B45872">
        <w:rPr>
          <w:sz w:val="24"/>
        </w:rPr>
        <w:t xml:space="preserve">　　截止到</w:t>
      </w:r>
      <w:r w:rsidRPr="00B45872">
        <w:rPr>
          <w:sz w:val="24"/>
        </w:rPr>
        <w:t>2017</w:t>
      </w:r>
      <w:r w:rsidRPr="00B45872">
        <w:rPr>
          <w:sz w:val="24"/>
        </w:rPr>
        <w:t>年</w:t>
      </w:r>
      <w:r w:rsidRPr="00B45872">
        <w:rPr>
          <w:sz w:val="24"/>
        </w:rPr>
        <w:t>6</w:t>
      </w:r>
      <w:r w:rsidRPr="00B45872">
        <w:rPr>
          <w:sz w:val="24"/>
        </w:rPr>
        <w:t>月</w:t>
      </w:r>
      <w:r w:rsidRPr="00B45872">
        <w:rPr>
          <w:sz w:val="24"/>
        </w:rPr>
        <w:t>30</w:t>
      </w:r>
      <w:r w:rsidRPr="00B45872">
        <w:rPr>
          <w:sz w:val="24"/>
        </w:rPr>
        <w:t>日，</w:t>
      </w:r>
      <w:r w:rsidRPr="00B45872">
        <w:rPr>
          <w:sz w:val="24"/>
        </w:rPr>
        <w:t>WHO</w:t>
      </w:r>
      <w:r w:rsidRPr="00B45872">
        <w:rPr>
          <w:sz w:val="24"/>
        </w:rPr>
        <w:t>数据库共收到</w:t>
      </w:r>
      <w:r w:rsidRPr="00B45872">
        <w:rPr>
          <w:sz w:val="24"/>
        </w:rPr>
        <w:t>GBCA</w:t>
      </w:r>
      <w:r w:rsidRPr="00B45872">
        <w:rPr>
          <w:sz w:val="24"/>
        </w:rPr>
        <w:t>药品不良反应</w:t>
      </w:r>
      <w:r w:rsidRPr="00B45872">
        <w:rPr>
          <w:sz w:val="24"/>
        </w:rPr>
        <w:t>/</w:t>
      </w:r>
      <w:r w:rsidRPr="00B45872">
        <w:rPr>
          <w:sz w:val="24"/>
        </w:rPr>
        <w:t>事件报告</w:t>
      </w:r>
      <w:r w:rsidRPr="00B45872">
        <w:rPr>
          <w:sz w:val="24"/>
        </w:rPr>
        <w:t>3</w:t>
      </w:r>
      <w:r w:rsidRPr="00B45872">
        <w:rPr>
          <w:sz w:val="24"/>
        </w:rPr>
        <w:t>万多例，主要累及皮肤及其附件损害、胃肠损害、全身性损害、呼吸系统损害等，主要表现为肾源性系统性纤维化、皮疹、瘙痒、恶心、呕吐、疼痛等。未收到与脑部钆沉积相关的不良反应</w:t>
      </w:r>
      <w:r w:rsidRPr="00B45872">
        <w:rPr>
          <w:sz w:val="24"/>
        </w:rPr>
        <w:t>/</w:t>
      </w:r>
      <w:r w:rsidRPr="00B45872">
        <w:rPr>
          <w:sz w:val="24"/>
        </w:rPr>
        <w:t>事件报告。</w:t>
      </w:r>
    </w:p>
    <w:p w:rsidR="00B45872" w:rsidRPr="00B45872" w:rsidRDefault="00B45872" w:rsidP="00B45872">
      <w:pPr>
        <w:rPr>
          <w:sz w:val="24"/>
        </w:rPr>
      </w:pPr>
      <w:r w:rsidRPr="00B45872">
        <w:rPr>
          <w:sz w:val="24"/>
        </w:rPr>
        <w:t xml:space="preserve">　　三、建议</w:t>
      </w:r>
    </w:p>
    <w:p w:rsidR="00B45872" w:rsidRPr="00B45872" w:rsidRDefault="00B45872" w:rsidP="00B45872">
      <w:pPr>
        <w:rPr>
          <w:sz w:val="24"/>
        </w:rPr>
      </w:pPr>
      <w:r w:rsidRPr="00B45872">
        <w:rPr>
          <w:sz w:val="24"/>
        </w:rPr>
        <w:t xml:space="preserve">　　</w:t>
      </w:r>
      <w:r w:rsidRPr="00B45872">
        <w:rPr>
          <w:sz w:val="24"/>
        </w:rPr>
        <w:t>1.</w:t>
      </w:r>
      <w:r w:rsidRPr="00B45872">
        <w:rPr>
          <w:sz w:val="24"/>
        </w:rPr>
        <w:t>请医务人员关注国外相关研究发现的</w:t>
      </w:r>
      <w:r w:rsidRPr="00B45872">
        <w:rPr>
          <w:sz w:val="24"/>
        </w:rPr>
        <w:t>GBCA</w:t>
      </w:r>
      <w:r w:rsidRPr="00B45872">
        <w:rPr>
          <w:sz w:val="24"/>
        </w:rPr>
        <w:t>反复使用引起钆在脑部沉积的风险，现有的证据表明，线性和大环类</w:t>
      </w:r>
      <w:r w:rsidRPr="00B45872">
        <w:rPr>
          <w:sz w:val="24"/>
        </w:rPr>
        <w:t>GBCA</w:t>
      </w:r>
      <w:r w:rsidRPr="00B45872">
        <w:rPr>
          <w:sz w:val="24"/>
        </w:rPr>
        <w:t>均会在大脑中发生痕量钆沉积，但线性的沉积量比大环类高。应谨慎使用</w:t>
      </w:r>
      <w:r w:rsidRPr="00B45872">
        <w:rPr>
          <w:sz w:val="24"/>
        </w:rPr>
        <w:t>GBCA</w:t>
      </w:r>
      <w:r w:rsidRPr="00B45872">
        <w:rPr>
          <w:sz w:val="24"/>
        </w:rPr>
        <w:t>，在必须使用的情况下，应使用最低批准剂量，并在重复给药前仔细进行获益风险评估。</w:t>
      </w:r>
      <w:r w:rsidRPr="00B45872">
        <w:rPr>
          <w:sz w:val="24"/>
        </w:rPr>
        <w:br/>
      </w:r>
      <w:r w:rsidRPr="00B45872">
        <w:rPr>
          <w:sz w:val="24"/>
        </w:rPr>
        <w:t xml:space="preserve">　　</w:t>
      </w:r>
      <w:r w:rsidRPr="00B45872">
        <w:rPr>
          <w:sz w:val="24"/>
        </w:rPr>
        <w:t>2.</w:t>
      </w:r>
      <w:r w:rsidRPr="00B45872">
        <w:rPr>
          <w:sz w:val="24"/>
        </w:rPr>
        <w:t>患者在涉及使用</w:t>
      </w:r>
      <w:r w:rsidRPr="00B45872">
        <w:rPr>
          <w:sz w:val="24"/>
        </w:rPr>
        <w:t>GBCA</w:t>
      </w:r>
      <w:r w:rsidRPr="00B45872">
        <w:rPr>
          <w:sz w:val="24"/>
        </w:rPr>
        <w:t>的</w:t>
      </w:r>
      <w:r w:rsidRPr="00B45872">
        <w:rPr>
          <w:sz w:val="24"/>
        </w:rPr>
        <w:t>MRI</w:t>
      </w:r>
      <w:r w:rsidRPr="00B45872">
        <w:rPr>
          <w:sz w:val="24"/>
        </w:rPr>
        <w:t>检查中，对个人健康状况存在任何问题时，应询问医务人员。</w:t>
      </w:r>
      <w:r w:rsidRPr="00B45872">
        <w:rPr>
          <w:sz w:val="24"/>
        </w:rPr>
        <w:br/>
      </w:r>
      <w:r w:rsidRPr="00B45872">
        <w:rPr>
          <w:sz w:val="24"/>
        </w:rPr>
        <w:t xml:space="preserve">　　</w:t>
      </w:r>
      <w:r w:rsidRPr="00B45872">
        <w:rPr>
          <w:sz w:val="24"/>
        </w:rPr>
        <w:t>3.</w:t>
      </w:r>
      <w:r w:rsidRPr="00B45872">
        <w:rPr>
          <w:sz w:val="24"/>
        </w:rPr>
        <w:t>药品生产企业应当及时更新药品说明书，加大合理用药宣传，同时应加强上市后钆沉积的安全性监测与研究，并及时将相关安全性信息传达给医务人员和患者。</w:t>
      </w:r>
    </w:p>
    <w:p w:rsidR="00D86A9A" w:rsidRPr="00B45872" w:rsidRDefault="00D86A9A" w:rsidP="00513E8B">
      <w:pPr>
        <w:spacing w:line="420" w:lineRule="exact"/>
        <w:contextualSpacing/>
        <w:jc w:val="left"/>
        <w:textAlignment w:val="center"/>
        <w:rPr>
          <w:rFonts w:ascii="Helvetica" w:eastAsia="宋体" w:hAnsi="Helvetica" w:cs="宋体"/>
          <w:color w:val="5F5F5F"/>
          <w:kern w:val="0"/>
          <w:sz w:val="20"/>
          <w:szCs w:val="20"/>
        </w:rPr>
        <w:sectPr w:rsidR="00D86A9A" w:rsidRPr="00B45872" w:rsidSect="00800C91">
          <w:pgSz w:w="11906" w:h="16838"/>
          <w:pgMar w:top="1440" w:right="1800" w:bottom="1440" w:left="1800" w:header="851" w:footer="992" w:gutter="0"/>
          <w:cols w:space="425"/>
          <w:docGrid w:type="lines" w:linePitch="312"/>
        </w:sectPr>
      </w:pPr>
    </w:p>
    <w:p w:rsidR="00A623A1" w:rsidRDefault="00D86A9A" w:rsidP="00513E8B">
      <w:pPr>
        <w:spacing w:line="420" w:lineRule="exact"/>
        <w:contextualSpacing/>
        <w:jc w:val="left"/>
        <w:textAlignment w:val="center"/>
        <w:rPr>
          <w:rFonts w:ascii="Helvetica" w:eastAsia="宋体" w:hAnsi="Helvetica" w:cs="宋体"/>
          <w:color w:val="5F5F5F"/>
          <w:kern w:val="0"/>
          <w:sz w:val="28"/>
          <w:szCs w:val="28"/>
        </w:rPr>
      </w:pPr>
      <w:r w:rsidRPr="00D86A9A">
        <w:rPr>
          <w:rFonts w:ascii="Helvetica" w:eastAsia="宋体" w:hAnsi="Helvetica" w:cs="宋体" w:hint="eastAsia"/>
          <w:color w:val="5F5F5F"/>
          <w:kern w:val="0"/>
          <w:sz w:val="28"/>
          <w:szCs w:val="28"/>
        </w:rPr>
        <w:lastRenderedPageBreak/>
        <w:t>【新药信息】</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药品名称</w:t>
      </w:r>
      <w:r>
        <w:rPr>
          <w:rStyle w:val="fl"/>
          <w:rFonts w:ascii="Helvetica" w:hAnsi="Helvetica"/>
          <w:b/>
          <w:bCs/>
          <w:color w:val="545454"/>
          <w:sz w:val="21"/>
          <w:szCs w:val="21"/>
        </w:rPr>
        <w:t>:</w:t>
      </w:r>
    </w:p>
    <w:p w:rsidR="00B45872" w:rsidRDefault="00B45872" w:rsidP="007217B7">
      <w:pPr>
        <w:shd w:val="clear" w:color="auto" w:fill="FFFFFF"/>
        <w:spacing w:line="200" w:lineRule="exact"/>
        <w:ind w:left="720"/>
        <w:rPr>
          <w:rFonts w:ascii="Helvetica" w:hAnsi="Helvetica"/>
          <w:color w:val="5F5F5F"/>
          <w:sz w:val="20"/>
          <w:szCs w:val="20"/>
        </w:rPr>
      </w:pPr>
      <w:r>
        <w:rPr>
          <w:rFonts w:ascii="Helvetica" w:hAnsi="Helvetica"/>
          <w:color w:val="5F5F5F"/>
          <w:sz w:val="20"/>
          <w:szCs w:val="20"/>
        </w:rPr>
        <w:t>通用名称：丹鹿胶囊</w:t>
      </w:r>
      <w:r>
        <w:rPr>
          <w:rFonts w:ascii="Helvetica" w:hAnsi="Helvetica"/>
          <w:color w:val="5F5F5F"/>
          <w:sz w:val="20"/>
          <w:szCs w:val="20"/>
        </w:rPr>
        <w:br/>
      </w:r>
      <w:r>
        <w:rPr>
          <w:rFonts w:ascii="Helvetica" w:hAnsi="Helvetica"/>
          <w:color w:val="5F5F5F"/>
          <w:sz w:val="20"/>
          <w:szCs w:val="20"/>
        </w:rPr>
        <w:t>商品名称：丹鹿胶囊</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成份</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鹿角、制何首乌、蛇床子、牡丹皮、赤芍、郁金、牡蛎、昆布。</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适应症</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调摄冲任，散结止痛。用于乳腺增生病、中医辩证属于冲任失调、郁滞痰凝者，症见乳房疼痛、乳房肿块、腰膝酸软、神疲乏力、胸胁胀痛、月经不调等，舌质淡，苔薄白或白腻，脉弦细。</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用法用量</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口服，一次</w:t>
      </w:r>
      <w:r>
        <w:rPr>
          <w:rFonts w:ascii="Helvetica" w:hAnsi="Helvetica"/>
          <w:color w:val="5F5F5F"/>
          <w:sz w:val="20"/>
          <w:szCs w:val="20"/>
        </w:rPr>
        <w:t>4</w:t>
      </w:r>
      <w:r>
        <w:rPr>
          <w:rFonts w:ascii="Helvetica" w:hAnsi="Helvetica"/>
          <w:color w:val="5F5F5F"/>
          <w:sz w:val="20"/>
          <w:szCs w:val="20"/>
        </w:rPr>
        <w:t>粒，一日</w:t>
      </w:r>
      <w:r>
        <w:rPr>
          <w:rFonts w:ascii="Helvetica" w:hAnsi="Helvetica"/>
          <w:color w:val="5F5F5F"/>
          <w:sz w:val="20"/>
          <w:szCs w:val="20"/>
        </w:rPr>
        <w:t>3</w:t>
      </w:r>
      <w:r>
        <w:rPr>
          <w:rFonts w:ascii="Helvetica" w:hAnsi="Helvetica"/>
          <w:color w:val="5F5F5F"/>
          <w:sz w:val="20"/>
          <w:szCs w:val="20"/>
        </w:rPr>
        <w:t>次。疗程为</w:t>
      </w:r>
      <w:r>
        <w:rPr>
          <w:rFonts w:ascii="Helvetica" w:hAnsi="Helvetica"/>
          <w:color w:val="5F5F5F"/>
          <w:sz w:val="20"/>
          <w:szCs w:val="20"/>
        </w:rPr>
        <w:t>8</w:t>
      </w:r>
      <w:r>
        <w:rPr>
          <w:rFonts w:ascii="Helvetica" w:hAnsi="Helvetica"/>
          <w:color w:val="5F5F5F"/>
          <w:sz w:val="20"/>
          <w:szCs w:val="20"/>
        </w:rPr>
        <w:t>周（经期停服）。</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不良反应</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临床试验中个别病例发生恶心、腹痛、呕吐、胃部不适等胃肠道反应，多为轻度，可自行缓解或消失。</w:t>
      </w:r>
    </w:p>
    <w:p w:rsidR="00B45872" w:rsidRDefault="00B45872" w:rsidP="007217B7">
      <w:pPr>
        <w:pBdr>
          <w:top w:val="single" w:sz="6" w:space="31"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禁忌</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孕妇及哺乳期妇女禁用。</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药物相互作用</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如与其他药物同时使用可能会发生药物相互作用，详情请咨询医师或药师。</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批准文号</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国药准字</w:t>
      </w:r>
      <w:r>
        <w:rPr>
          <w:rFonts w:ascii="Helvetica" w:hAnsi="Helvetica"/>
          <w:color w:val="5F5F5F"/>
          <w:sz w:val="20"/>
          <w:szCs w:val="20"/>
        </w:rPr>
        <w:t>Z20150004</w:t>
      </w:r>
    </w:p>
    <w:p w:rsidR="00B45872" w:rsidRDefault="00B45872" w:rsidP="007217B7">
      <w:pPr>
        <w:pBdr>
          <w:top w:val="single" w:sz="6" w:space="10" w:color="E3E3E3"/>
        </w:pBdr>
        <w:shd w:val="clear" w:color="auto" w:fill="FFFFFF"/>
        <w:spacing w:line="200" w:lineRule="exact"/>
        <w:rPr>
          <w:rFonts w:ascii="Helvetica" w:hAnsi="Helvetica"/>
          <w:b/>
          <w:bCs/>
          <w:color w:val="545454"/>
          <w:sz w:val="21"/>
          <w:szCs w:val="21"/>
        </w:rPr>
      </w:pPr>
      <w:r>
        <w:rPr>
          <w:rStyle w:val="fl"/>
          <w:rFonts w:ascii="Helvetica" w:hAnsi="Helvetica"/>
          <w:b/>
          <w:bCs/>
          <w:color w:val="545454"/>
          <w:sz w:val="21"/>
          <w:szCs w:val="21"/>
        </w:rPr>
        <w:t>生产企业</w:t>
      </w:r>
      <w:r>
        <w:rPr>
          <w:rStyle w:val="fl"/>
          <w:rFonts w:ascii="Helvetica" w:hAnsi="Helvetica"/>
          <w:b/>
          <w:bCs/>
          <w:color w:val="545454"/>
          <w:sz w:val="21"/>
          <w:szCs w:val="21"/>
        </w:rPr>
        <w:t>:</w:t>
      </w:r>
    </w:p>
    <w:p w:rsidR="00B45872" w:rsidRDefault="00B45872" w:rsidP="007217B7">
      <w:pPr>
        <w:shd w:val="clear" w:color="auto" w:fill="FFFFFF"/>
        <w:spacing w:after="375" w:line="200" w:lineRule="exact"/>
        <w:ind w:left="720"/>
        <w:rPr>
          <w:rFonts w:ascii="Helvetica" w:hAnsi="Helvetica"/>
          <w:color w:val="5F5F5F"/>
          <w:sz w:val="20"/>
          <w:szCs w:val="20"/>
        </w:rPr>
      </w:pPr>
      <w:r>
        <w:rPr>
          <w:rFonts w:ascii="Helvetica" w:hAnsi="Helvetica"/>
          <w:color w:val="5F5F5F"/>
          <w:sz w:val="20"/>
          <w:szCs w:val="20"/>
        </w:rPr>
        <w:t>江苏苏中药业集团股份有限公司</w:t>
      </w:r>
    </w:p>
    <w:p w:rsidR="00D86A9A" w:rsidRPr="00B45872" w:rsidRDefault="00D86A9A" w:rsidP="00B45872">
      <w:pPr>
        <w:widowControl/>
        <w:pBdr>
          <w:top w:val="single" w:sz="6" w:space="10" w:color="E3E3E3"/>
        </w:pBdr>
        <w:shd w:val="clear" w:color="auto" w:fill="FFFFFF"/>
        <w:jc w:val="left"/>
        <w:rPr>
          <w:rFonts w:ascii="Helvetica" w:eastAsia="宋体" w:hAnsi="Helvetica" w:cs="宋体"/>
          <w:color w:val="5F5F5F"/>
          <w:kern w:val="0"/>
          <w:sz w:val="28"/>
          <w:szCs w:val="28"/>
        </w:rPr>
      </w:pPr>
    </w:p>
    <w:sectPr w:rsidR="00D86A9A" w:rsidRPr="00B45872" w:rsidSect="00800C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39" w:rsidRDefault="00522D39" w:rsidP="00BF48DF">
      <w:r>
        <w:separator/>
      </w:r>
    </w:p>
  </w:endnote>
  <w:endnote w:type="continuationSeparator" w:id="0">
    <w:p w:rsidR="00522D39" w:rsidRDefault="00522D39" w:rsidP="00BF4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39" w:rsidRDefault="00522D39" w:rsidP="00BF48DF">
      <w:r>
        <w:separator/>
      </w:r>
    </w:p>
  </w:footnote>
  <w:footnote w:type="continuationSeparator" w:id="0">
    <w:p w:rsidR="00522D39" w:rsidRDefault="00522D39" w:rsidP="00BF4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72" w:rsidRDefault="00B4587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FEA"/>
    <w:multiLevelType w:val="multilevel"/>
    <w:tmpl w:val="4D9E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27FB2"/>
    <w:multiLevelType w:val="multilevel"/>
    <w:tmpl w:val="3DB4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DB47EE"/>
    <w:multiLevelType w:val="multilevel"/>
    <w:tmpl w:val="6EF0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C50BA"/>
    <w:multiLevelType w:val="multilevel"/>
    <w:tmpl w:val="56B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557C4"/>
    <w:multiLevelType w:val="multilevel"/>
    <w:tmpl w:val="9BC4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B714EE"/>
    <w:multiLevelType w:val="multilevel"/>
    <w:tmpl w:val="3EA8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E4E01"/>
    <w:multiLevelType w:val="multilevel"/>
    <w:tmpl w:val="9030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5C32EC"/>
    <w:multiLevelType w:val="multilevel"/>
    <w:tmpl w:val="AD8A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BB5EFC"/>
    <w:multiLevelType w:val="multilevel"/>
    <w:tmpl w:val="69E4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7AE64E"/>
    <w:multiLevelType w:val="singleLevel"/>
    <w:tmpl w:val="597AE64E"/>
    <w:lvl w:ilvl="0">
      <w:start w:val="2"/>
      <w:numFmt w:val="chineseCounting"/>
      <w:suff w:val="nothing"/>
      <w:lvlText w:val="（%1）"/>
      <w:lvlJc w:val="left"/>
    </w:lvl>
  </w:abstractNum>
  <w:abstractNum w:abstractNumId="10">
    <w:nsid w:val="781E57D7"/>
    <w:multiLevelType w:val="multilevel"/>
    <w:tmpl w:val="4C54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8A293B"/>
    <w:multiLevelType w:val="multilevel"/>
    <w:tmpl w:val="CAE4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2"/>
  </w:num>
  <w:num w:numId="4">
    <w:abstractNumId w:val="9"/>
  </w:num>
  <w:num w:numId="5">
    <w:abstractNumId w:val="0"/>
  </w:num>
  <w:num w:numId="6">
    <w:abstractNumId w:val="5"/>
  </w:num>
  <w:num w:numId="7">
    <w:abstractNumId w:val="1"/>
  </w:num>
  <w:num w:numId="8">
    <w:abstractNumId w:val="7"/>
  </w:num>
  <w:num w:numId="9">
    <w:abstractNumId w:val="8"/>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8DF"/>
    <w:rsid w:val="000146EC"/>
    <w:rsid w:val="000E79D6"/>
    <w:rsid w:val="0014055E"/>
    <w:rsid w:val="00185404"/>
    <w:rsid w:val="00194E0C"/>
    <w:rsid w:val="0022448F"/>
    <w:rsid w:val="00244760"/>
    <w:rsid w:val="0024769B"/>
    <w:rsid w:val="002D3A84"/>
    <w:rsid w:val="00504DF2"/>
    <w:rsid w:val="00513E8B"/>
    <w:rsid w:val="00522D39"/>
    <w:rsid w:val="006759D8"/>
    <w:rsid w:val="007217B7"/>
    <w:rsid w:val="00800C91"/>
    <w:rsid w:val="00807B28"/>
    <w:rsid w:val="008E30D1"/>
    <w:rsid w:val="0091681C"/>
    <w:rsid w:val="0093182C"/>
    <w:rsid w:val="00A35202"/>
    <w:rsid w:val="00A623A1"/>
    <w:rsid w:val="00B45872"/>
    <w:rsid w:val="00BF48DF"/>
    <w:rsid w:val="00C1544A"/>
    <w:rsid w:val="00D061A7"/>
    <w:rsid w:val="00D86A9A"/>
    <w:rsid w:val="00E45C39"/>
    <w:rsid w:val="00E83A9A"/>
    <w:rsid w:val="00F24842"/>
    <w:rsid w:val="00FB7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DF"/>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14055E"/>
    <w:pPr>
      <w:keepNext/>
      <w:keepLines/>
      <w:spacing w:before="340" w:after="330" w:line="576" w:lineRule="auto"/>
      <w:ind w:firstLineChars="200" w:firstLine="480"/>
      <w:jc w:val="center"/>
      <w:outlineLvl w:val="0"/>
    </w:pPr>
    <w:rPr>
      <w:rFonts w:ascii="Times New Roman" w:eastAsia="宋体" w:hAnsi="Times New Roman"/>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8DF"/>
    <w:rPr>
      <w:sz w:val="18"/>
      <w:szCs w:val="18"/>
    </w:rPr>
  </w:style>
  <w:style w:type="paragraph" w:styleId="a4">
    <w:name w:val="footer"/>
    <w:basedOn w:val="a"/>
    <w:link w:val="Char0"/>
    <w:uiPriority w:val="99"/>
    <w:semiHidden/>
    <w:unhideWhenUsed/>
    <w:rsid w:val="00BF4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8DF"/>
    <w:rPr>
      <w:sz w:val="18"/>
      <w:szCs w:val="18"/>
    </w:rPr>
  </w:style>
  <w:style w:type="paragraph" w:styleId="a5">
    <w:name w:val="Normal (Web)"/>
    <w:basedOn w:val="a"/>
    <w:uiPriority w:val="99"/>
    <w:qFormat/>
    <w:rsid w:val="00BF48DF"/>
    <w:pPr>
      <w:spacing w:before="100" w:beforeAutospacing="1" w:after="100" w:afterAutospacing="1"/>
      <w:jc w:val="left"/>
    </w:pPr>
    <w:rPr>
      <w:rFonts w:ascii="宋体" w:hAnsi="宋体"/>
      <w:kern w:val="0"/>
      <w:sz w:val="24"/>
    </w:rPr>
  </w:style>
  <w:style w:type="character" w:styleId="a6">
    <w:name w:val="Hyperlink"/>
    <w:basedOn w:val="a0"/>
    <w:uiPriority w:val="99"/>
    <w:unhideWhenUsed/>
    <w:qFormat/>
    <w:rsid w:val="00BF48DF"/>
    <w:rPr>
      <w:color w:val="3A3A3A"/>
      <w:u w:val="none"/>
    </w:rPr>
  </w:style>
  <w:style w:type="paragraph" w:styleId="a7">
    <w:name w:val="Balloon Text"/>
    <w:basedOn w:val="a"/>
    <w:link w:val="Char1"/>
    <w:uiPriority w:val="99"/>
    <w:semiHidden/>
    <w:unhideWhenUsed/>
    <w:rsid w:val="00BF48DF"/>
    <w:rPr>
      <w:sz w:val="18"/>
      <w:szCs w:val="18"/>
    </w:rPr>
  </w:style>
  <w:style w:type="character" w:customStyle="1" w:styleId="Char1">
    <w:name w:val="批注框文本 Char"/>
    <w:basedOn w:val="a0"/>
    <w:link w:val="a7"/>
    <w:uiPriority w:val="99"/>
    <w:semiHidden/>
    <w:rsid w:val="00BF48DF"/>
    <w:rPr>
      <w:rFonts w:ascii="Calibri" w:eastAsia="仿宋_GB2312" w:hAnsi="Calibri" w:cs="Times New Roman"/>
      <w:sz w:val="18"/>
      <w:szCs w:val="18"/>
    </w:rPr>
  </w:style>
  <w:style w:type="character" w:customStyle="1" w:styleId="1Char">
    <w:name w:val="标题 1 Char"/>
    <w:basedOn w:val="a0"/>
    <w:link w:val="1"/>
    <w:uiPriority w:val="9"/>
    <w:qFormat/>
    <w:rsid w:val="0014055E"/>
    <w:rPr>
      <w:rFonts w:ascii="Times New Roman" w:eastAsia="宋体" w:hAnsi="Times New Roman" w:cs="Times New Roman"/>
      <w:b/>
      <w:kern w:val="44"/>
      <w:sz w:val="24"/>
      <w:szCs w:val="24"/>
    </w:rPr>
  </w:style>
  <w:style w:type="character" w:customStyle="1" w:styleId="fl">
    <w:name w:val="fl"/>
    <w:basedOn w:val="a0"/>
    <w:rsid w:val="00185404"/>
  </w:style>
  <w:style w:type="character" w:styleId="a8">
    <w:name w:val="Strong"/>
    <w:basedOn w:val="a0"/>
    <w:uiPriority w:val="22"/>
    <w:qFormat/>
    <w:rsid w:val="00185404"/>
    <w:rPr>
      <w:b/>
      <w:bCs/>
    </w:rPr>
  </w:style>
  <w:style w:type="paragraph" w:styleId="a9">
    <w:name w:val="List Paragraph"/>
    <w:basedOn w:val="a"/>
    <w:uiPriority w:val="34"/>
    <w:qFormat/>
    <w:rsid w:val="0093182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9710544">
      <w:bodyDiv w:val="1"/>
      <w:marLeft w:val="0"/>
      <w:marRight w:val="0"/>
      <w:marTop w:val="0"/>
      <w:marBottom w:val="0"/>
      <w:divBdr>
        <w:top w:val="none" w:sz="0" w:space="0" w:color="auto"/>
        <w:left w:val="none" w:sz="0" w:space="0" w:color="auto"/>
        <w:bottom w:val="none" w:sz="0" w:space="0" w:color="auto"/>
        <w:right w:val="none" w:sz="0" w:space="0" w:color="auto"/>
      </w:divBdr>
    </w:div>
    <w:div w:id="600067163">
      <w:bodyDiv w:val="1"/>
      <w:marLeft w:val="0"/>
      <w:marRight w:val="0"/>
      <w:marTop w:val="0"/>
      <w:marBottom w:val="0"/>
      <w:divBdr>
        <w:top w:val="none" w:sz="0" w:space="0" w:color="auto"/>
        <w:left w:val="none" w:sz="0" w:space="0" w:color="auto"/>
        <w:bottom w:val="none" w:sz="0" w:space="0" w:color="auto"/>
        <w:right w:val="none" w:sz="0" w:space="0" w:color="auto"/>
      </w:divBdr>
    </w:div>
    <w:div w:id="631986654">
      <w:bodyDiv w:val="1"/>
      <w:marLeft w:val="0"/>
      <w:marRight w:val="0"/>
      <w:marTop w:val="0"/>
      <w:marBottom w:val="0"/>
      <w:divBdr>
        <w:top w:val="none" w:sz="0" w:space="0" w:color="auto"/>
        <w:left w:val="none" w:sz="0" w:space="0" w:color="auto"/>
        <w:bottom w:val="none" w:sz="0" w:space="0" w:color="auto"/>
        <w:right w:val="none" w:sz="0" w:space="0" w:color="auto"/>
      </w:divBdr>
    </w:div>
    <w:div w:id="632711241">
      <w:bodyDiv w:val="1"/>
      <w:marLeft w:val="0"/>
      <w:marRight w:val="0"/>
      <w:marTop w:val="0"/>
      <w:marBottom w:val="0"/>
      <w:divBdr>
        <w:top w:val="none" w:sz="0" w:space="0" w:color="auto"/>
        <w:left w:val="none" w:sz="0" w:space="0" w:color="auto"/>
        <w:bottom w:val="none" w:sz="0" w:space="0" w:color="auto"/>
        <w:right w:val="none" w:sz="0" w:space="0" w:color="auto"/>
      </w:divBdr>
    </w:div>
    <w:div w:id="682702287">
      <w:bodyDiv w:val="1"/>
      <w:marLeft w:val="0"/>
      <w:marRight w:val="0"/>
      <w:marTop w:val="0"/>
      <w:marBottom w:val="0"/>
      <w:divBdr>
        <w:top w:val="none" w:sz="0" w:space="0" w:color="auto"/>
        <w:left w:val="none" w:sz="0" w:space="0" w:color="auto"/>
        <w:bottom w:val="none" w:sz="0" w:space="0" w:color="auto"/>
        <w:right w:val="none" w:sz="0" w:space="0" w:color="auto"/>
      </w:divBdr>
    </w:div>
    <w:div w:id="762724322">
      <w:bodyDiv w:val="1"/>
      <w:marLeft w:val="0"/>
      <w:marRight w:val="0"/>
      <w:marTop w:val="0"/>
      <w:marBottom w:val="0"/>
      <w:divBdr>
        <w:top w:val="none" w:sz="0" w:space="0" w:color="auto"/>
        <w:left w:val="none" w:sz="0" w:space="0" w:color="auto"/>
        <w:bottom w:val="none" w:sz="0" w:space="0" w:color="auto"/>
        <w:right w:val="none" w:sz="0" w:space="0" w:color="auto"/>
      </w:divBdr>
    </w:div>
    <w:div w:id="764959730">
      <w:bodyDiv w:val="1"/>
      <w:marLeft w:val="0"/>
      <w:marRight w:val="0"/>
      <w:marTop w:val="0"/>
      <w:marBottom w:val="0"/>
      <w:divBdr>
        <w:top w:val="none" w:sz="0" w:space="0" w:color="auto"/>
        <w:left w:val="none" w:sz="0" w:space="0" w:color="auto"/>
        <w:bottom w:val="none" w:sz="0" w:space="0" w:color="auto"/>
        <w:right w:val="none" w:sz="0" w:space="0" w:color="auto"/>
      </w:divBdr>
    </w:div>
    <w:div w:id="798958514">
      <w:bodyDiv w:val="1"/>
      <w:marLeft w:val="0"/>
      <w:marRight w:val="0"/>
      <w:marTop w:val="0"/>
      <w:marBottom w:val="0"/>
      <w:divBdr>
        <w:top w:val="none" w:sz="0" w:space="0" w:color="auto"/>
        <w:left w:val="none" w:sz="0" w:space="0" w:color="auto"/>
        <w:bottom w:val="none" w:sz="0" w:space="0" w:color="auto"/>
        <w:right w:val="none" w:sz="0" w:space="0" w:color="auto"/>
      </w:divBdr>
    </w:div>
    <w:div w:id="875653178">
      <w:bodyDiv w:val="1"/>
      <w:marLeft w:val="0"/>
      <w:marRight w:val="0"/>
      <w:marTop w:val="0"/>
      <w:marBottom w:val="0"/>
      <w:divBdr>
        <w:top w:val="none" w:sz="0" w:space="0" w:color="auto"/>
        <w:left w:val="none" w:sz="0" w:space="0" w:color="auto"/>
        <w:bottom w:val="none" w:sz="0" w:space="0" w:color="auto"/>
        <w:right w:val="none" w:sz="0" w:space="0" w:color="auto"/>
      </w:divBdr>
    </w:div>
    <w:div w:id="1232472358">
      <w:bodyDiv w:val="1"/>
      <w:marLeft w:val="0"/>
      <w:marRight w:val="0"/>
      <w:marTop w:val="0"/>
      <w:marBottom w:val="0"/>
      <w:divBdr>
        <w:top w:val="none" w:sz="0" w:space="0" w:color="auto"/>
        <w:left w:val="none" w:sz="0" w:space="0" w:color="auto"/>
        <w:bottom w:val="none" w:sz="0" w:space="0" w:color="auto"/>
        <w:right w:val="none" w:sz="0" w:space="0" w:color="auto"/>
      </w:divBdr>
    </w:div>
    <w:div w:id="1260289971">
      <w:bodyDiv w:val="1"/>
      <w:marLeft w:val="0"/>
      <w:marRight w:val="0"/>
      <w:marTop w:val="0"/>
      <w:marBottom w:val="0"/>
      <w:divBdr>
        <w:top w:val="none" w:sz="0" w:space="0" w:color="auto"/>
        <w:left w:val="none" w:sz="0" w:space="0" w:color="auto"/>
        <w:bottom w:val="none" w:sz="0" w:space="0" w:color="auto"/>
        <w:right w:val="none" w:sz="0" w:space="0" w:color="auto"/>
      </w:divBdr>
    </w:div>
    <w:div w:id="1599676841">
      <w:bodyDiv w:val="1"/>
      <w:marLeft w:val="0"/>
      <w:marRight w:val="0"/>
      <w:marTop w:val="0"/>
      <w:marBottom w:val="0"/>
      <w:divBdr>
        <w:top w:val="none" w:sz="0" w:space="0" w:color="auto"/>
        <w:left w:val="none" w:sz="0" w:space="0" w:color="auto"/>
        <w:bottom w:val="none" w:sz="0" w:space="0" w:color="auto"/>
        <w:right w:val="none" w:sz="0" w:space="0" w:color="auto"/>
      </w:divBdr>
    </w:div>
    <w:div w:id="1646668124">
      <w:bodyDiv w:val="1"/>
      <w:marLeft w:val="0"/>
      <w:marRight w:val="0"/>
      <w:marTop w:val="0"/>
      <w:marBottom w:val="0"/>
      <w:divBdr>
        <w:top w:val="none" w:sz="0" w:space="0" w:color="auto"/>
        <w:left w:val="none" w:sz="0" w:space="0" w:color="auto"/>
        <w:bottom w:val="none" w:sz="0" w:space="0" w:color="auto"/>
        <w:right w:val="none" w:sz="0" w:space="0" w:color="auto"/>
      </w:divBdr>
    </w:div>
    <w:div w:id="20481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TotalTime>
  <Pages>7</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2019-04-24T05:06:00Z</dcterms:created>
  <dcterms:modified xsi:type="dcterms:W3CDTF">2020-04-24T05:02:00Z</dcterms:modified>
</cp:coreProperties>
</file>