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DF" w:rsidRDefault="00BF48DF" w:rsidP="00BF48DF">
      <w:pPr>
        <w:spacing w:line="480" w:lineRule="exact"/>
        <w:ind w:right="700"/>
        <w:contextualSpacing/>
        <w:textAlignment w:val="center"/>
        <w:rPr>
          <w:rFonts w:ascii="Times New Roman" w:eastAsia="方正小标宋简体" w:hAnsi="Times New Roman"/>
          <w:szCs w:val="32"/>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820" w:lineRule="exact"/>
        <w:ind w:firstLineChars="100" w:firstLine="1200"/>
        <w:rPr>
          <w:rFonts w:ascii="Times New Roman" w:eastAsia="宋体" w:hAnsi="Times New Roman"/>
          <w:bCs/>
          <w:spacing w:val="100"/>
          <w:sz w:val="100"/>
        </w:rPr>
      </w:pPr>
    </w:p>
    <w:p w:rsidR="00BF48DF" w:rsidRDefault="00BF48DF" w:rsidP="00BF48DF">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BF48DF" w:rsidRDefault="00BF48DF" w:rsidP="00BF48DF">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BF48DF" w:rsidRDefault="00BF48DF" w:rsidP="00BF48DF">
      <w:pPr>
        <w:tabs>
          <w:tab w:val="left" w:pos="4875"/>
        </w:tabs>
        <w:spacing w:line="360" w:lineRule="exact"/>
        <w:jc w:val="center"/>
        <w:rPr>
          <w:rFonts w:ascii="Times New Roman" w:hAnsi="Times New Roman"/>
        </w:rPr>
      </w:pPr>
    </w:p>
    <w:p w:rsidR="00BF48DF" w:rsidRDefault="00BF48DF" w:rsidP="00BF48DF">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 xml:space="preserve">  </w:t>
      </w:r>
      <w:r>
        <w:rPr>
          <w:rFonts w:ascii="Times New Roman" w:eastAsia="宋体" w:hAnsi="Times New Roman" w:hint="eastAsia"/>
          <w:spacing w:val="-8"/>
          <w:szCs w:val="32"/>
        </w:rPr>
        <w:t>主办：临床药学</w:t>
      </w:r>
      <w:r w:rsidR="00C1544A">
        <w:rPr>
          <w:rFonts w:ascii="Times New Roman" w:eastAsia="宋体" w:hAnsi="Times New Roman" w:hint="eastAsia"/>
          <w:spacing w:val="-8"/>
          <w:szCs w:val="32"/>
        </w:rPr>
        <w:t>室</w:t>
      </w:r>
    </w:p>
    <w:p w:rsidR="00BF48DF" w:rsidRDefault="00BF48DF" w:rsidP="00BF48DF">
      <w:pPr>
        <w:tabs>
          <w:tab w:val="left" w:pos="4875"/>
        </w:tabs>
        <w:spacing w:line="360" w:lineRule="exact"/>
        <w:jc w:val="center"/>
        <w:rPr>
          <w:rFonts w:ascii="Times New Roman" w:eastAsia="黑体" w:hAnsi="Times New Roman"/>
          <w:sz w:val="26"/>
          <w:szCs w:val="26"/>
        </w:rPr>
      </w:pPr>
    </w:p>
    <w:p w:rsidR="00BF48DF" w:rsidRDefault="00BF48DF" w:rsidP="00BF48DF">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w:t>
      </w:r>
      <w:r w:rsidR="0060501F">
        <w:rPr>
          <w:rFonts w:ascii="Times New Roman" w:eastAsia="宋体" w:hAnsi="Times New Roman" w:hint="eastAsia"/>
          <w:sz w:val="28"/>
          <w:szCs w:val="28"/>
        </w:rPr>
        <w:t>28</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sidR="00260B4A">
        <w:rPr>
          <w:rFonts w:ascii="Times New Roman" w:eastAsia="宋体" w:hAnsi="Times New Roman" w:hint="eastAsia"/>
          <w:sz w:val="28"/>
          <w:szCs w:val="28"/>
        </w:rPr>
        <w:t>8</w:t>
      </w:r>
      <w:r>
        <w:rPr>
          <w:rFonts w:ascii="Times New Roman" w:eastAsia="宋体" w:hAnsi="Times New Roman" w:hint="eastAsia"/>
          <w:sz w:val="28"/>
          <w:szCs w:val="28"/>
        </w:rPr>
        <w:t>年第</w:t>
      </w:r>
      <w:r w:rsidR="00244760">
        <w:rPr>
          <w:rFonts w:ascii="Times New Roman" w:eastAsia="宋体" w:hAnsi="Times New Roman" w:hint="eastAsia"/>
          <w:sz w:val="28"/>
          <w:szCs w:val="28"/>
        </w:rPr>
        <w:t>2</w:t>
      </w:r>
      <w:r>
        <w:rPr>
          <w:rFonts w:ascii="Times New Roman" w:eastAsia="宋体" w:hAnsi="Times New Roman" w:hint="eastAsia"/>
          <w:sz w:val="28"/>
          <w:szCs w:val="28"/>
        </w:rPr>
        <w:t>期</w:t>
      </w: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4875"/>
        </w:tabs>
        <w:jc w:val="center"/>
        <w:rPr>
          <w:rFonts w:ascii="Times New Roman" w:eastAsia="黑体" w:hAnsi="Times New Roman"/>
          <w:sz w:val="34"/>
        </w:rPr>
      </w:pPr>
    </w:p>
    <w:p w:rsidR="00BF48DF" w:rsidRPr="004F2DC6" w:rsidRDefault="00BF48DF" w:rsidP="00BF48DF">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BF48DF" w:rsidRDefault="00BF48DF" w:rsidP="00BF48DF">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Pr>
          <w:rFonts w:ascii="Times New Roman" w:eastAsia="宋体" w:hAnsi="Times New Roman" w:hint="eastAsia"/>
          <w:b/>
          <w:spacing w:val="60"/>
          <w:sz w:val="36"/>
          <w:szCs w:val="36"/>
        </w:rPr>
        <w:t>一</w:t>
      </w:r>
      <w:r w:rsidR="00513E8B">
        <w:rPr>
          <w:rFonts w:ascii="Times New Roman" w:eastAsia="宋体" w:hAnsi="Times New Roman" w:hint="eastAsia"/>
          <w:b/>
          <w:spacing w:val="60"/>
          <w:sz w:val="36"/>
          <w:szCs w:val="36"/>
        </w:rPr>
        <w:t>八</w:t>
      </w:r>
      <w:r>
        <w:rPr>
          <w:rFonts w:ascii="Times New Roman" w:eastAsia="宋体" w:hAnsi="Times New Roman" w:hint="eastAsia"/>
          <w:b/>
          <w:spacing w:val="60"/>
          <w:sz w:val="36"/>
          <w:szCs w:val="36"/>
        </w:rPr>
        <w:t>年</w:t>
      </w:r>
      <w:r w:rsidR="00244760">
        <w:rPr>
          <w:rFonts w:ascii="Times New Roman" w:eastAsia="宋体" w:hAnsi="Times New Roman" w:hint="eastAsia"/>
          <w:b/>
          <w:spacing w:val="60"/>
          <w:sz w:val="36"/>
          <w:szCs w:val="36"/>
        </w:rPr>
        <w:t>六</w:t>
      </w:r>
      <w:r>
        <w:rPr>
          <w:rFonts w:ascii="Times New Roman" w:eastAsia="宋体" w:hAnsi="Times New Roman" w:hint="eastAsia"/>
          <w:b/>
          <w:spacing w:val="60"/>
          <w:sz w:val="36"/>
          <w:szCs w:val="36"/>
        </w:rPr>
        <w:t>月</w:t>
      </w:r>
    </w:p>
    <w:p w:rsidR="00BF48DF" w:rsidRDefault="00BF48DF" w:rsidP="00BF48DF">
      <w:pPr>
        <w:tabs>
          <w:tab w:val="left" w:pos="4875"/>
        </w:tabs>
        <w:jc w:val="center"/>
        <w:rPr>
          <w:rFonts w:ascii="Times New Roman" w:hAnsi="Times New Roman"/>
          <w:sz w:val="24"/>
        </w:rPr>
      </w:pPr>
    </w:p>
    <w:p w:rsidR="00BF48DF" w:rsidRDefault="00BF48DF" w:rsidP="00BF48DF">
      <w:pPr>
        <w:tabs>
          <w:tab w:val="left" w:pos="4875"/>
        </w:tabs>
        <w:jc w:val="center"/>
        <w:rPr>
          <w:rFonts w:ascii="Times New Roman" w:eastAsia="黑体" w:hAnsi="Times New Roman"/>
          <w:sz w:val="34"/>
        </w:rPr>
      </w:pPr>
    </w:p>
    <w:p w:rsidR="00BF48DF" w:rsidRDefault="00BF48DF" w:rsidP="00BF48DF">
      <w:pPr>
        <w:tabs>
          <w:tab w:val="left" w:pos="8960"/>
          <w:tab w:val="left" w:pos="9280"/>
        </w:tabs>
        <w:spacing w:line="460" w:lineRule="exact"/>
        <w:rPr>
          <w:rFonts w:ascii="Times New Roman" w:eastAsia="Times New Roman" w:hAnsi="Times New Roman"/>
          <w:sz w:val="40"/>
          <w:szCs w:val="44"/>
        </w:rPr>
        <w:sectPr w:rsidR="00BF48DF">
          <w:headerReference w:type="default" r:id="rId7"/>
          <w:pgSz w:w="11906" w:h="16838"/>
          <w:pgMar w:top="1985" w:right="1191" w:bottom="1134" w:left="1644" w:header="851" w:footer="1151" w:gutter="0"/>
          <w:pgNumType w:start="1"/>
          <w:cols w:space="720"/>
          <w:docGrid w:type="linesAndChars" w:linePitch="623"/>
        </w:sectPr>
      </w:pPr>
    </w:p>
    <w:p w:rsidR="00BF48DF" w:rsidRDefault="00BF48DF" w:rsidP="00BF48DF">
      <w:pPr>
        <w:tabs>
          <w:tab w:val="left" w:pos="8960"/>
          <w:tab w:val="left" w:pos="9280"/>
        </w:tabs>
        <w:spacing w:line="460" w:lineRule="exact"/>
        <w:rPr>
          <w:rFonts w:ascii="Times New Roman" w:eastAsia="Times New Roman" w:hAnsi="Times New Roman"/>
          <w:sz w:val="40"/>
          <w:szCs w:val="44"/>
        </w:rPr>
      </w:pPr>
    </w:p>
    <w:p w:rsidR="00BF48DF" w:rsidRDefault="00BF48DF" w:rsidP="00BF48DF">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BF48DF" w:rsidRDefault="00BF48DF" w:rsidP="00BF48DF">
      <w:pPr>
        <w:tabs>
          <w:tab w:val="left" w:pos="8960"/>
        </w:tabs>
        <w:spacing w:line="620" w:lineRule="exact"/>
        <w:rPr>
          <w:rFonts w:ascii="Times New Roman" w:hAnsi="Times New Roman"/>
          <w:sz w:val="28"/>
          <w:szCs w:val="28"/>
        </w:rPr>
      </w:pPr>
    </w:p>
    <w:p w:rsidR="0014055E" w:rsidRDefault="00BF48DF" w:rsidP="0014055E">
      <w:pPr>
        <w:tabs>
          <w:tab w:val="left" w:pos="8960"/>
        </w:tabs>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w:t>
      </w:r>
      <w:r w:rsidR="0093182C">
        <w:rPr>
          <w:rFonts w:ascii="宋体" w:eastAsia="宋体" w:hAnsi="宋体" w:cs="宋体" w:hint="eastAsia"/>
          <w:sz w:val="28"/>
          <w:szCs w:val="28"/>
        </w:rPr>
        <w:t>物</w:t>
      </w:r>
      <w:r w:rsidR="0014055E">
        <w:rPr>
          <w:rFonts w:ascii="宋体" w:eastAsia="宋体" w:hAnsi="宋体" w:cs="宋体" w:hint="eastAsia"/>
          <w:sz w:val="28"/>
          <w:szCs w:val="28"/>
        </w:rPr>
        <w:t>警戒</w:t>
      </w:r>
      <w:r>
        <w:rPr>
          <w:rFonts w:ascii="Times New Roman" w:hAnsi="Times New Roman" w:hint="eastAsia"/>
          <w:sz w:val="28"/>
          <w:szCs w:val="28"/>
        </w:rPr>
        <w:t>】</w:t>
      </w:r>
    </w:p>
    <w:p w:rsidR="0093182C" w:rsidRPr="0093182C" w:rsidRDefault="0093182C" w:rsidP="0093182C">
      <w:pPr>
        <w:rPr>
          <w:rFonts w:ascii="宋体" w:eastAsia="宋体" w:hAnsi="宋体" w:cs="宋体"/>
          <w:sz w:val="28"/>
          <w:szCs w:val="28"/>
        </w:rPr>
      </w:pPr>
      <w:r w:rsidRPr="0093182C">
        <w:rPr>
          <w:rFonts w:ascii="宋体" w:eastAsia="宋体" w:hAnsi="宋体" w:cs="宋体" w:hint="eastAsia"/>
          <w:sz w:val="28"/>
          <w:szCs w:val="28"/>
        </w:rPr>
        <w:t>加拿大评估达比加群酯潜在的肝损害风险</w:t>
      </w:r>
    </w:p>
    <w:p w:rsidR="0093182C" w:rsidRPr="0093182C" w:rsidRDefault="0093182C" w:rsidP="0093182C">
      <w:pPr>
        <w:rPr>
          <w:rFonts w:ascii="宋体" w:eastAsia="宋体" w:hAnsi="宋体" w:cs="宋体"/>
          <w:sz w:val="28"/>
          <w:szCs w:val="28"/>
        </w:rPr>
      </w:pPr>
      <w:r w:rsidRPr="0093182C">
        <w:rPr>
          <w:rFonts w:ascii="宋体" w:eastAsia="宋体" w:hAnsi="宋体" w:cs="宋体" w:hint="eastAsia"/>
          <w:sz w:val="28"/>
          <w:szCs w:val="28"/>
        </w:rPr>
        <w:t>加拿大评估异烟肼潜在的胰腺炎风险</w:t>
      </w:r>
    </w:p>
    <w:p w:rsidR="0022448F" w:rsidRDefault="0022448F" w:rsidP="0091681C">
      <w:pPr>
        <w:widowControl/>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药物不良反应】</w:t>
      </w:r>
    </w:p>
    <w:p w:rsidR="000E79D6" w:rsidRPr="000E79D6" w:rsidRDefault="000E79D6" w:rsidP="000E79D6">
      <w:pPr>
        <w:rPr>
          <w:rFonts w:ascii="宋体" w:eastAsia="宋体" w:hAnsi="宋体" w:cs="宋体"/>
          <w:sz w:val="28"/>
          <w:szCs w:val="28"/>
        </w:rPr>
      </w:pPr>
      <w:r w:rsidRPr="000E79D6">
        <w:rPr>
          <w:rFonts w:ascii="宋体" w:eastAsia="宋体" w:hAnsi="宋体" w:cs="宋体"/>
          <w:sz w:val="28"/>
          <w:szCs w:val="28"/>
        </w:rPr>
        <w:t>关注睾酮药品的心血管事件风险</w:t>
      </w:r>
    </w:p>
    <w:p w:rsidR="00513E8B" w:rsidRDefault="00BF48DF" w:rsidP="00D061A7">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D061A7" w:rsidRDefault="000E79D6" w:rsidP="00FB7347">
      <w:pPr>
        <w:tabs>
          <w:tab w:val="left" w:pos="8960"/>
        </w:tabs>
        <w:spacing w:line="620" w:lineRule="exact"/>
        <w:rPr>
          <w:rFonts w:ascii="宋体" w:eastAsia="宋体" w:hAnsi="宋体" w:cs="宋体"/>
          <w:sz w:val="28"/>
          <w:szCs w:val="28"/>
        </w:rPr>
        <w:sectPr w:rsidR="00D061A7" w:rsidSect="00800C91">
          <w:pgSz w:w="11906" w:h="16838"/>
          <w:pgMar w:top="1440" w:right="1800" w:bottom="1440" w:left="1800" w:header="851" w:footer="992" w:gutter="0"/>
          <w:cols w:space="425"/>
          <w:docGrid w:type="lines" w:linePitch="312"/>
        </w:sectPr>
      </w:pPr>
      <w:r>
        <w:rPr>
          <w:rFonts w:ascii="宋体" w:eastAsia="宋体" w:hAnsi="宋体" w:cs="宋体" w:hint="eastAsia"/>
          <w:sz w:val="28"/>
          <w:szCs w:val="28"/>
        </w:rPr>
        <w:t>蟾酥注射液</w:t>
      </w:r>
    </w:p>
    <w:p w:rsidR="00FB7347" w:rsidRDefault="00FB7347" w:rsidP="00FB7347">
      <w:pPr>
        <w:tabs>
          <w:tab w:val="left" w:pos="8960"/>
        </w:tabs>
        <w:spacing w:line="620" w:lineRule="exact"/>
        <w:rPr>
          <w:rFonts w:ascii="Times New Roman" w:hAnsi="Times New Roman"/>
          <w:sz w:val="28"/>
          <w:szCs w:val="28"/>
        </w:rPr>
      </w:pPr>
      <w:r>
        <w:rPr>
          <w:rFonts w:ascii="宋体" w:eastAsia="宋体" w:hAnsi="宋体" w:cs="宋体" w:hint="eastAsia"/>
          <w:sz w:val="28"/>
          <w:szCs w:val="28"/>
        </w:rPr>
        <w:lastRenderedPageBreak/>
        <w:t>【药</w:t>
      </w:r>
      <w:r w:rsidR="0093182C">
        <w:rPr>
          <w:rFonts w:ascii="宋体" w:eastAsia="宋体" w:hAnsi="宋体" w:cs="宋体" w:hint="eastAsia"/>
          <w:sz w:val="28"/>
          <w:szCs w:val="28"/>
        </w:rPr>
        <w:t>物</w:t>
      </w:r>
      <w:r>
        <w:rPr>
          <w:rFonts w:ascii="宋体" w:eastAsia="宋体" w:hAnsi="宋体" w:cs="宋体" w:hint="eastAsia"/>
          <w:sz w:val="28"/>
          <w:szCs w:val="28"/>
        </w:rPr>
        <w:t>警戒</w:t>
      </w:r>
      <w:r>
        <w:rPr>
          <w:rFonts w:ascii="Times New Roman" w:hAnsi="Times New Roman" w:hint="eastAsia"/>
          <w:sz w:val="28"/>
          <w:szCs w:val="28"/>
        </w:rPr>
        <w:t>】</w:t>
      </w:r>
    </w:p>
    <w:p w:rsidR="0093182C" w:rsidRPr="0093182C" w:rsidRDefault="0093182C" w:rsidP="0093182C">
      <w:pPr>
        <w:jc w:val="center"/>
        <w:rPr>
          <w:rFonts w:ascii="黑体" w:eastAsia="黑体" w:hAnsi="黑体"/>
          <w:b/>
          <w:sz w:val="30"/>
          <w:szCs w:val="30"/>
        </w:rPr>
      </w:pPr>
      <w:r w:rsidRPr="0093182C">
        <w:rPr>
          <w:rFonts w:ascii="黑体" w:eastAsia="黑体" w:hAnsi="黑体" w:hint="eastAsia"/>
          <w:b/>
          <w:sz w:val="30"/>
          <w:szCs w:val="30"/>
        </w:rPr>
        <w:t>加拿大评估达比加群酯潜在的肝损害风险</w:t>
      </w:r>
    </w:p>
    <w:p w:rsidR="0093182C" w:rsidRPr="0093182C" w:rsidRDefault="0093182C" w:rsidP="00492783">
      <w:pPr>
        <w:ind w:firstLineChars="200" w:firstLine="480"/>
        <w:rPr>
          <w:sz w:val="24"/>
        </w:rPr>
      </w:pPr>
      <w:r w:rsidRPr="0093182C">
        <w:rPr>
          <w:rFonts w:hint="eastAsia"/>
          <w:sz w:val="24"/>
        </w:rPr>
        <w:t>达比加群酯是一种血液稀释剂。在加拿大批准上市为处方药，用于预防膝关节或髋关节置换手术后下肢静脉或肺静脉的血栓形成；用于治疗血栓、预防下肢静脉或肺静脉血栓的再次生成；用于预防存在潜在血栓风险同时伴有心脏节律异常（心房颤动）患者中风和急性血管栓塞的发生。达比加群酯</w:t>
      </w:r>
      <w:r w:rsidRPr="0093182C">
        <w:rPr>
          <w:rFonts w:hint="eastAsia"/>
          <w:sz w:val="24"/>
        </w:rPr>
        <w:t>2008</w:t>
      </w:r>
      <w:r w:rsidRPr="0093182C">
        <w:rPr>
          <w:rFonts w:hint="eastAsia"/>
          <w:sz w:val="24"/>
        </w:rPr>
        <w:t>年在加拿大上市，商品名</w:t>
      </w:r>
      <w:r w:rsidRPr="0093182C">
        <w:rPr>
          <w:rFonts w:hint="eastAsia"/>
          <w:sz w:val="24"/>
        </w:rPr>
        <w:t>Pradax</w:t>
      </w:r>
      <w:r w:rsidRPr="0093182C">
        <w:rPr>
          <w:rFonts w:hint="eastAsia"/>
          <w:sz w:val="24"/>
        </w:rPr>
        <w:t>，后更名为</w:t>
      </w:r>
      <w:r w:rsidRPr="0093182C">
        <w:rPr>
          <w:rFonts w:hint="eastAsia"/>
          <w:sz w:val="24"/>
        </w:rPr>
        <w:t>Pradaxa</w:t>
      </w:r>
      <w:r w:rsidRPr="0093182C">
        <w:rPr>
          <w:rFonts w:hint="eastAsia"/>
          <w:sz w:val="24"/>
        </w:rPr>
        <w:t>（泰毕全）。泰毕全是一种口服胶囊制剂，</w:t>
      </w:r>
      <w:r w:rsidRPr="0093182C">
        <w:rPr>
          <w:rFonts w:hint="eastAsia"/>
          <w:sz w:val="24"/>
        </w:rPr>
        <w:t>2016</w:t>
      </w:r>
      <w:r w:rsidRPr="0093182C">
        <w:rPr>
          <w:rFonts w:hint="eastAsia"/>
          <w:sz w:val="24"/>
        </w:rPr>
        <w:t>年在加拿大境内约开具了</w:t>
      </w:r>
      <w:r w:rsidRPr="0093182C">
        <w:rPr>
          <w:rFonts w:hint="eastAsia"/>
          <w:sz w:val="24"/>
        </w:rPr>
        <w:t>711,000</w:t>
      </w:r>
      <w:r w:rsidRPr="0093182C">
        <w:rPr>
          <w:rFonts w:hint="eastAsia"/>
          <w:sz w:val="24"/>
        </w:rPr>
        <w:t>次处方。</w:t>
      </w:r>
    </w:p>
    <w:p w:rsidR="0093182C" w:rsidRPr="0093182C" w:rsidRDefault="0093182C" w:rsidP="00492783">
      <w:pPr>
        <w:ind w:firstLineChars="200" w:firstLine="480"/>
        <w:rPr>
          <w:sz w:val="24"/>
        </w:rPr>
      </w:pPr>
      <w:r w:rsidRPr="0093182C">
        <w:rPr>
          <w:rFonts w:hint="eastAsia"/>
          <w:sz w:val="24"/>
        </w:rPr>
        <w:t>本次安全性评估包括科学文献、医学文献，以及来自加拿大境内和境外的信息，包括使用信息。加拿大卫生部评估了生产企业提交的严重肝损害的病例报告，并要求企业提交所有和泰毕全、肝损害风险相关的信息。</w:t>
      </w:r>
    </w:p>
    <w:p w:rsidR="0093182C" w:rsidRPr="0093182C" w:rsidRDefault="0093182C" w:rsidP="00492783">
      <w:pPr>
        <w:ind w:firstLineChars="200" w:firstLine="480"/>
        <w:rPr>
          <w:sz w:val="24"/>
        </w:rPr>
      </w:pPr>
      <w:r w:rsidRPr="0093182C">
        <w:rPr>
          <w:rFonts w:hint="eastAsia"/>
          <w:sz w:val="24"/>
        </w:rPr>
        <w:t>评估期间，加拿大卫生部共收到</w:t>
      </w:r>
      <w:r w:rsidRPr="0093182C">
        <w:rPr>
          <w:rFonts w:hint="eastAsia"/>
          <w:sz w:val="24"/>
        </w:rPr>
        <w:t>27</w:t>
      </w:r>
      <w:r w:rsidRPr="0093182C">
        <w:rPr>
          <w:rFonts w:hint="eastAsia"/>
          <w:sz w:val="24"/>
        </w:rPr>
        <w:t>例服用泰毕全后发生严重肝损害的境内病例报告，对</w:t>
      </w:r>
      <w:r w:rsidRPr="0093182C">
        <w:rPr>
          <w:rFonts w:hint="eastAsia"/>
          <w:sz w:val="24"/>
        </w:rPr>
        <w:t>4</w:t>
      </w:r>
      <w:r w:rsidRPr="0093182C">
        <w:rPr>
          <w:rFonts w:hint="eastAsia"/>
          <w:sz w:val="24"/>
        </w:rPr>
        <w:t>例可疑和服用泰毕全相关的病例开展进一步评估，其中</w:t>
      </w:r>
      <w:r w:rsidRPr="0093182C">
        <w:rPr>
          <w:rFonts w:hint="eastAsia"/>
          <w:sz w:val="24"/>
        </w:rPr>
        <w:t>3</w:t>
      </w:r>
      <w:r w:rsidRPr="0093182C">
        <w:rPr>
          <w:rFonts w:hint="eastAsia"/>
          <w:sz w:val="24"/>
        </w:rPr>
        <w:t>例（包括</w:t>
      </w:r>
      <w:r w:rsidRPr="0093182C">
        <w:rPr>
          <w:rFonts w:hint="eastAsia"/>
          <w:sz w:val="24"/>
        </w:rPr>
        <w:t>1</w:t>
      </w:r>
      <w:r w:rsidRPr="0093182C">
        <w:rPr>
          <w:rFonts w:hint="eastAsia"/>
          <w:sz w:val="24"/>
        </w:rPr>
        <w:t>例死亡病例）提示肝损害可能与服用泰毕全相关。此次评估还包括</w:t>
      </w:r>
      <w:r w:rsidRPr="0093182C">
        <w:rPr>
          <w:rFonts w:hint="eastAsia"/>
          <w:sz w:val="24"/>
        </w:rPr>
        <w:t>105</w:t>
      </w:r>
      <w:r w:rsidRPr="0093182C">
        <w:rPr>
          <w:rFonts w:hint="eastAsia"/>
          <w:sz w:val="24"/>
        </w:rPr>
        <w:t>例境外病例报告，对</w:t>
      </w:r>
      <w:r w:rsidRPr="0093182C">
        <w:rPr>
          <w:rFonts w:hint="eastAsia"/>
          <w:sz w:val="24"/>
        </w:rPr>
        <w:t>16</w:t>
      </w:r>
      <w:r w:rsidRPr="0093182C">
        <w:rPr>
          <w:rFonts w:hint="eastAsia"/>
          <w:sz w:val="24"/>
        </w:rPr>
        <w:t>例可疑和服用泰毕全相关的病例开展进一步评估，其中</w:t>
      </w:r>
      <w:r w:rsidRPr="0093182C">
        <w:rPr>
          <w:rFonts w:hint="eastAsia"/>
          <w:sz w:val="24"/>
        </w:rPr>
        <w:t>13</w:t>
      </w:r>
      <w:r w:rsidRPr="0093182C">
        <w:rPr>
          <w:rFonts w:hint="eastAsia"/>
          <w:sz w:val="24"/>
        </w:rPr>
        <w:t>例（包括</w:t>
      </w:r>
      <w:r w:rsidRPr="0093182C">
        <w:rPr>
          <w:rFonts w:hint="eastAsia"/>
          <w:sz w:val="24"/>
        </w:rPr>
        <w:t>2</w:t>
      </w:r>
      <w:r w:rsidRPr="0093182C">
        <w:rPr>
          <w:rFonts w:hint="eastAsia"/>
          <w:sz w:val="24"/>
        </w:rPr>
        <w:t>例死亡病例）提示肝损害可能与服用泰毕全相关。加拿大卫生部对大多数病例开展进一步评估后，认为其他医疗条件、药物也可以导致肝损害。</w:t>
      </w:r>
      <w:r w:rsidRPr="0093182C">
        <w:rPr>
          <w:rFonts w:hint="eastAsia"/>
          <w:sz w:val="24"/>
        </w:rPr>
        <w:t>2</w:t>
      </w:r>
      <w:r w:rsidRPr="0093182C">
        <w:rPr>
          <w:rFonts w:hint="eastAsia"/>
          <w:sz w:val="24"/>
        </w:rPr>
        <w:t>个文献报导的怀疑和服用泰毕全相关的严重肝损害病例，由于严重肝损害没有确认，因此没有进一步评估。</w:t>
      </w:r>
    </w:p>
    <w:p w:rsidR="0093182C" w:rsidRPr="0093182C" w:rsidRDefault="0093182C" w:rsidP="00492783">
      <w:pPr>
        <w:ind w:firstLineChars="200" w:firstLine="480"/>
        <w:rPr>
          <w:sz w:val="24"/>
        </w:rPr>
      </w:pPr>
      <w:r w:rsidRPr="0093182C">
        <w:rPr>
          <w:rFonts w:hint="eastAsia"/>
          <w:sz w:val="24"/>
        </w:rPr>
        <w:t>已发表的研究没有提示泰毕全增加患者肝损害风险。美国和欧盟的产品说明书未包含关于肝损害的相关信息。</w:t>
      </w:r>
    </w:p>
    <w:p w:rsidR="0093182C" w:rsidRPr="0093182C" w:rsidRDefault="0093182C" w:rsidP="00492783">
      <w:pPr>
        <w:ind w:firstLineChars="200" w:firstLine="480"/>
        <w:rPr>
          <w:sz w:val="24"/>
        </w:rPr>
      </w:pPr>
      <w:r w:rsidRPr="0093182C">
        <w:rPr>
          <w:rFonts w:hint="eastAsia"/>
          <w:sz w:val="24"/>
        </w:rPr>
        <w:t>加拿大卫生部评估后发现服用泰毕全和肝损害可能存在关联性。</w:t>
      </w:r>
    </w:p>
    <w:p w:rsidR="0093182C" w:rsidRPr="0093182C" w:rsidRDefault="0093182C" w:rsidP="00492783">
      <w:pPr>
        <w:ind w:firstLineChars="200" w:firstLine="480"/>
        <w:rPr>
          <w:sz w:val="24"/>
        </w:rPr>
      </w:pPr>
      <w:r w:rsidRPr="0093182C">
        <w:rPr>
          <w:rFonts w:hint="eastAsia"/>
          <w:sz w:val="24"/>
        </w:rPr>
        <w:t>加拿大卫生部将和生产企业一起更新泰毕全的安全性信息，告知医护人员和患者该产品严重肝损害的潜在风险。加拿大卫生部将在该产品上市期间继续开展泰毕全的安全性监测，确认和评估该产品的潜在风险。当确认新的安全风险时，加拿大卫生部将及时采取适当的措施。</w:t>
      </w:r>
    </w:p>
    <w:p w:rsidR="0093182C" w:rsidRPr="0093182C" w:rsidRDefault="0093182C" w:rsidP="00492783">
      <w:pPr>
        <w:ind w:firstLineChars="200" w:firstLine="480"/>
        <w:rPr>
          <w:sz w:val="24"/>
        </w:rPr>
      </w:pPr>
      <w:r w:rsidRPr="0093182C">
        <w:rPr>
          <w:rFonts w:hint="eastAsia"/>
          <w:sz w:val="24"/>
        </w:rPr>
        <w:t>日本药品和医疗器械监管局（</w:t>
      </w:r>
      <w:r w:rsidRPr="0093182C">
        <w:rPr>
          <w:rFonts w:hint="eastAsia"/>
          <w:sz w:val="24"/>
        </w:rPr>
        <w:t>PMDA</w:t>
      </w:r>
      <w:r w:rsidRPr="0093182C">
        <w:rPr>
          <w:rFonts w:hint="eastAsia"/>
          <w:sz w:val="24"/>
        </w:rPr>
        <w:t>）于</w:t>
      </w:r>
      <w:r w:rsidRPr="0093182C">
        <w:rPr>
          <w:rFonts w:hint="eastAsia"/>
          <w:sz w:val="24"/>
        </w:rPr>
        <w:t>2017</w:t>
      </w:r>
      <w:r w:rsidRPr="0093182C">
        <w:rPr>
          <w:rFonts w:hint="eastAsia"/>
          <w:sz w:val="24"/>
        </w:rPr>
        <w:t>年</w:t>
      </w:r>
      <w:r w:rsidRPr="0093182C">
        <w:rPr>
          <w:rFonts w:hint="eastAsia"/>
          <w:sz w:val="24"/>
        </w:rPr>
        <w:t>9</w:t>
      </w:r>
      <w:r w:rsidRPr="0093182C">
        <w:rPr>
          <w:rFonts w:hint="eastAsia"/>
          <w:sz w:val="24"/>
        </w:rPr>
        <w:t>月</w:t>
      </w:r>
      <w:r w:rsidRPr="0093182C">
        <w:rPr>
          <w:rFonts w:hint="eastAsia"/>
          <w:sz w:val="24"/>
        </w:rPr>
        <w:t>12</w:t>
      </w:r>
      <w:r w:rsidRPr="0093182C">
        <w:rPr>
          <w:rFonts w:hint="eastAsia"/>
          <w:sz w:val="24"/>
        </w:rPr>
        <w:t>日发布了一则达比加群酯风险沟通和更新产品说明书的信息，其中包括肝损害。</w:t>
      </w:r>
    </w:p>
    <w:p w:rsidR="00A623A1" w:rsidRDefault="00A623A1" w:rsidP="0022448F">
      <w:pPr>
        <w:spacing w:line="420" w:lineRule="exact"/>
        <w:contextualSpacing/>
        <w:jc w:val="left"/>
        <w:textAlignment w:val="center"/>
        <w:rPr>
          <w:rFonts w:ascii="宋体" w:eastAsia="宋体" w:hAnsi="宋体" w:cs="宋体"/>
          <w:sz w:val="24"/>
        </w:rPr>
      </w:pPr>
    </w:p>
    <w:p w:rsidR="0093182C" w:rsidRDefault="0093182C" w:rsidP="0022448F">
      <w:pPr>
        <w:spacing w:line="420" w:lineRule="exact"/>
        <w:contextualSpacing/>
        <w:jc w:val="left"/>
        <w:textAlignment w:val="center"/>
        <w:rPr>
          <w:rFonts w:ascii="宋体" w:eastAsia="宋体" w:hAnsi="宋体" w:cs="宋体"/>
          <w:sz w:val="24"/>
        </w:rPr>
      </w:pPr>
    </w:p>
    <w:p w:rsidR="0093182C" w:rsidRPr="0093182C" w:rsidRDefault="0093182C" w:rsidP="0093182C">
      <w:pPr>
        <w:jc w:val="center"/>
        <w:rPr>
          <w:rFonts w:ascii="黑体" w:eastAsia="黑体" w:hAnsi="黑体"/>
          <w:b/>
          <w:sz w:val="30"/>
          <w:szCs w:val="30"/>
        </w:rPr>
      </w:pPr>
      <w:r w:rsidRPr="0093182C">
        <w:rPr>
          <w:rFonts w:ascii="黑体" w:eastAsia="黑体" w:hAnsi="黑体" w:hint="eastAsia"/>
          <w:b/>
          <w:sz w:val="30"/>
          <w:szCs w:val="30"/>
        </w:rPr>
        <w:t>加拿大评估异烟肼潜在的胰腺炎风险</w:t>
      </w:r>
    </w:p>
    <w:p w:rsidR="0093182C" w:rsidRPr="0093182C" w:rsidRDefault="0093182C" w:rsidP="00492783">
      <w:pPr>
        <w:ind w:firstLineChars="200" w:firstLine="480"/>
        <w:rPr>
          <w:sz w:val="24"/>
        </w:rPr>
      </w:pPr>
      <w:r w:rsidRPr="0093182C">
        <w:rPr>
          <w:rFonts w:hint="eastAsia"/>
          <w:sz w:val="24"/>
        </w:rPr>
        <w:t>2018</w:t>
      </w:r>
      <w:r w:rsidRPr="0093182C">
        <w:rPr>
          <w:rFonts w:hint="eastAsia"/>
          <w:sz w:val="24"/>
        </w:rPr>
        <w:t>年</w:t>
      </w:r>
      <w:r w:rsidRPr="0093182C">
        <w:rPr>
          <w:rFonts w:hint="eastAsia"/>
          <w:sz w:val="24"/>
        </w:rPr>
        <w:t>5</w:t>
      </w:r>
      <w:r w:rsidRPr="0093182C">
        <w:rPr>
          <w:rFonts w:hint="eastAsia"/>
          <w:sz w:val="24"/>
        </w:rPr>
        <w:t>月</w:t>
      </w:r>
      <w:r w:rsidRPr="0093182C">
        <w:rPr>
          <w:rFonts w:hint="eastAsia"/>
          <w:sz w:val="24"/>
        </w:rPr>
        <w:t>10</w:t>
      </w:r>
      <w:r w:rsidRPr="0093182C">
        <w:rPr>
          <w:rFonts w:hint="eastAsia"/>
          <w:sz w:val="24"/>
        </w:rPr>
        <w:t>日，加拿大卫生部发布了使用异烟肼后导致胰腺炎潜在风险的评估结果。该安全性评估是在美国将该风险更新进异烟肼的产品安全性信息后启动的。胰腺炎是胰腺的一种炎症性疾病，通常由胆结石和饮酒引起，但也可以由药物反应（药物性胰腺炎）引起。</w:t>
      </w:r>
    </w:p>
    <w:p w:rsidR="0093182C" w:rsidRPr="0093182C" w:rsidRDefault="0093182C" w:rsidP="00492783">
      <w:pPr>
        <w:ind w:firstLineChars="200" w:firstLine="480"/>
        <w:rPr>
          <w:sz w:val="24"/>
        </w:rPr>
      </w:pPr>
      <w:r w:rsidRPr="0093182C">
        <w:rPr>
          <w:rFonts w:hint="eastAsia"/>
          <w:sz w:val="24"/>
        </w:rPr>
        <w:t>异烟肼是一种用于治疗结核病的处方药，结核病主要是由一种感染肺部的细菌引起的，该细菌也可以感染身体其他器官或部位。异烟肼可单独使用用来预防或联合其他抗结核药物用来治疗结核病。异烟肼在加拿大上市时间是</w:t>
      </w:r>
      <w:r w:rsidRPr="0093182C">
        <w:rPr>
          <w:rFonts w:hint="eastAsia"/>
          <w:sz w:val="24"/>
        </w:rPr>
        <w:t>1997</w:t>
      </w:r>
      <w:r w:rsidRPr="0093182C">
        <w:rPr>
          <w:rFonts w:hint="eastAsia"/>
          <w:sz w:val="24"/>
        </w:rPr>
        <w:t>年，商品名为</w:t>
      </w:r>
      <w:r w:rsidRPr="0093182C">
        <w:rPr>
          <w:rFonts w:hint="eastAsia"/>
          <w:sz w:val="24"/>
        </w:rPr>
        <w:t>PDP</w:t>
      </w:r>
      <w:r w:rsidRPr="0093182C">
        <w:rPr>
          <w:rFonts w:hint="eastAsia"/>
          <w:sz w:val="24"/>
        </w:rPr>
        <w:t>异烟肼。</w:t>
      </w:r>
    </w:p>
    <w:p w:rsidR="0093182C" w:rsidRPr="0093182C" w:rsidRDefault="0093182C" w:rsidP="0093182C">
      <w:pPr>
        <w:rPr>
          <w:sz w:val="24"/>
        </w:rPr>
      </w:pPr>
      <w:r w:rsidRPr="0093182C">
        <w:rPr>
          <w:rFonts w:hint="eastAsia"/>
          <w:sz w:val="24"/>
        </w:rPr>
        <w:t>在评估期间，加拿大卫生部收到</w:t>
      </w:r>
      <w:r w:rsidRPr="0093182C">
        <w:rPr>
          <w:rFonts w:hint="eastAsia"/>
          <w:sz w:val="24"/>
        </w:rPr>
        <w:t>3</w:t>
      </w:r>
      <w:r w:rsidRPr="0093182C">
        <w:rPr>
          <w:rFonts w:hint="eastAsia"/>
          <w:sz w:val="24"/>
        </w:rPr>
        <w:t>例使用异烟肼后发生胰腺炎的境内病例报告。在这些报告中，异烟肼的使用时间和胰腺炎的发生之间关系并不明确或者与药物</w:t>
      </w:r>
      <w:r w:rsidRPr="0093182C">
        <w:rPr>
          <w:rFonts w:hint="eastAsia"/>
          <w:sz w:val="24"/>
        </w:rPr>
        <w:lastRenderedPageBreak/>
        <w:t>性胰腺炎的诊断不符合。因此，加拿大卫生部没有将该</w:t>
      </w:r>
      <w:r w:rsidRPr="0093182C">
        <w:rPr>
          <w:rFonts w:hint="eastAsia"/>
          <w:sz w:val="24"/>
        </w:rPr>
        <w:t>3</w:t>
      </w:r>
      <w:r w:rsidRPr="0093182C">
        <w:rPr>
          <w:rFonts w:hint="eastAsia"/>
          <w:sz w:val="24"/>
        </w:rPr>
        <w:t>个病例报告纳入进一步评估中。</w:t>
      </w:r>
    </w:p>
    <w:p w:rsidR="0093182C" w:rsidRPr="0093182C" w:rsidRDefault="0093182C" w:rsidP="00492783">
      <w:pPr>
        <w:ind w:firstLineChars="200" w:firstLine="480"/>
        <w:rPr>
          <w:sz w:val="24"/>
        </w:rPr>
      </w:pPr>
      <w:r w:rsidRPr="0093182C">
        <w:rPr>
          <w:rFonts w:hint="eastAsia"/>
          <w:sz w:val="24"/>
        </w:rPr>
        <w:t>加拿大卫生部同时评估了</w:t>
      </w:r>
      <w:r w:rsidRPr="0093182C">
        <w:rPr>
          <w:rFonts w:hint="eastAsia"/>
          <w:sz w:val="24"/>
        </w:rPr>
        <w:t>14</w:t>
      </w:r>
      <w:r w:rsidRPr="0093182C">
        <w:rPr>
          <w:rFonts w:hint="eastAsia"/>
          <w:sz w:val="24"/>
        </w:rPr>
        <w:t>例使用异烟肼后发生胰腺炎的境外病例报告，其中</w:t>
      </w:r>
      <w:r w:rsidRPr="0093182C">
        <w:rPr>
          <w:rFonts w:hint="eastAsia"/>
          <w:sz w:val="24"/>
        </w:rPr>
        <w:t>3</w:t>
      </w:r>
      <w:r w:rsidRPr="0093182C">
        <w:rPr>
          <w:rFonts w:hint="eastAsia"/>
          <w:sz w:val="24"/>
        </w:rPr>
        <w:t>例报告认为很可能与异烟肼的使用有关，</w:t>
      </w:r>
      <w:r w:rsidRPr="0093182C">
        <w:rPr>
          <w:rFonts w:hint="eastAsia"/>
          <w:sz w:val="24"/>
        </w:rPr>
        <w:t>9</w:t>
      </w:r>
      <w:r w:rsidRPr="0093182C">
        <w:rPr>
          <w:rFonts w:hint="eastAsia"/>
          <w:sz w:val="24"/>
        </w:rPr>
        <w:t>例为可能相关，</w:t>
      </w:r>
      <w:r w:rsidRPr="0093182C">
        <w:rPr>
          <w:rFonts w:hint="eastAsia"/>
          <w:sz w:val="24"/>
        </w:rPr>
        <w:t>1</w:t>
      </w:r>
      <w:r w:rsidRPr="0093182C">
        <w:rPr>
          <w:rFonts w:hint="eastAsia"/>
          <w:sz w:val="24"/>
        </w:rPr>
        <w:t>例为不可能相关，其余报告因为信息不足无法评估。同时，已发表的科学文献（参考文献</w:t>
      </w:r>
      <w:r w:rsidRPr="0093182C">
        <w:rPr>
          <w:rFonts w:hint="eastAsia"/>
          <w:sz w:val="24"/>
        </w:rPr>
        <w:t>1-4</w:t>
      </w:r>
      <w:r w:rsidRPr="0093182C">
        <w:rPr>
          <w:rFonts w:hint="eastAsia"/>
          <w:sz w:val="24"/>
        </w:rPr>
        <w:t>）表明，异烟肼的使用与发生胰腺炎的潜在风险之间存在关联，尽管在一些病例中可能有其他因素在发挥作用。</w:t>
      </w:r>
    </w:p>
    <w:p w:rsidR="0093182C" w:rsidRPr="0093182C" w:rsidRDefault="0093182C" w:rsidP="0093182C">
      <w:pPr>
        <w:rPr>
          <w:sz w:val="24"/>
        </w:rPr>
      </w:pPr>
      <w:r w:rsidRPr="0093182C">
        <w:rPr>
          <w:rFonts w:hint="eastAsia"/>
          <w:sz w:val="24"/>
        </w:rPr>
        <w:t>美国食品药品监督管理局和欧洲药品管理局均在异烟肼产品安全信息中列出了胰腺炎的风险。</w:t>
      </w:r>
    </w:p>
    <w:p w:rsidR="0093182C" w:rsidRPr="000E79D6" w:rsidRDefault="0093182C" w:rsidP="00492783">
      <w:pPr>
        <w:ind w:firstLineChars="200" w:firstLine="480"/>
        <w:rPr>
          <w:sz w:val="24"/>
        </w:rPr>
        <w:sectPr w:rsidR="0093182C" w:rsidRPr="000E79D6" w:rsidSect="00800C91">
          <w:pgSz w:w="11906" w:h="16838"/>
          <w:pgMar w:top="1440" w:right="1800" w:bottom="1440" w:left="1800" w:header="851" w:footer="992" w:gutter="0"/>
          <w:cols w:space="425"/>
          <w:docGrid w:type="lines" w:linePitch="312"/>
        </w:sectPr>
      </w:pPr>
      <w:r w:rsidRPr="0093182C">
        <w:rPr>
          <w:rFonts w:hint="eastAsia"/>
          <w:sz w:val="24"/>
        </w:rPr>
        <w:t>加拿大卫生部评估认为，使用异烟肼存在导致胰腺炎的罕见的潜在风险。加拿大卫生部正在督促生产企业更新异烟肼的产品安全性信息，以告知该风险。加拿大卫生部将继续监测异</w:t>
      </w:r>
      <w:r w:rsidR="000E79D6">
        <w:rPr>
          <w:rFonts w:hint="eastAsia"/>
          <w:sz w:val="24"/>
        </w:rPr>
        <w:t>烟肼产品的相关安全信息，如有新风险被确认将及时采取适当监管措施。</w:t>
      </w:r>
    </w:p>
    <w:p w:rsidR="00A623A1" w:rsidRDefault="00A623A1" w:rsidP="00A623A1">
      <w:pPr>
        <w:jc w:val="left"/>
        <w:rPr>
          <w:rFonts w:ascii="黑体" w:eastAsia="黑体" w:hAnsi="黑体"/>
          <w:sz w:val="28"/>
          <w:szCs w:val="28"/>
        </w:rPr>
      </w:pPr>
      <w:r>
        <w:rPr>
          <w:rFonts w:ascii="黑体" w:eastAsia="黑体" w:hAnsi="黑体" w:hint="eastAsia"/>
          <w:sz w:val="28"/>
          <w:szCs w:val="28"/>
        </w:rPr>
        <w:lastRenderedPageBreak/>
        <w:t>【药品不良反应】</w:t>
      </w:r>
    </w:p>
    <w:p w:rsidR="0093182C" w:rsidRPr="0093182C" w:rsidRDefault="0093182C" w:rsidP="0093182C">
      <w:pPr>
        <w:jc w:val="center"/>
        <w:rPr>
          <w:rFonts w:ascii="黑体" w:eastAsia="黑体" w:hAnsi="黑体"/>
          <w:b/>
          <w:sz w:val="30"/>
          <w:szCs w:val="30"/>
        </w:rPr>
      </w:pPr>
      <w:r w:rsidRPr="0093182C">
        <w:rPr>
          <w:rFonts w:ascii="黑体" w:eastAsia="黑体" w:hAnsi="黑体"/>
          <w:b/>
          <w:sz w:val="30"/>
          <w:szCs w:val="30"/>
        </w:rPr>
        <w:t>关注睾酮药品的心血管事件风险</w:t>
      </w:r>
    </w:p>
    <w:p w:rsidR="0093182C" w:rsidRPr="0093182C" w:rsidRDefault="0093182C" w:rsidP="0093182C">
      <w:pPr>
        <w:rPr>
          <w:sz w:val="24"/>
        </w:rPr>
      </w:pPr>
      <w:r w:rsidRPr="0093182C">
        <w:rPr>
          <w:sz w:val="24"/>
        </w:rPr>
        <w:t xml:space="preserve">　　</w:t>
      </w:r>
    </w:p>
    <w:p w:rsidR="0093182C" w:rsidRPr="0093182C" w:rsidRDefault="0093182C" w:rsidP="0093182C">
      <w:pPr>
        <w:rPr>
          <w:sz w:val="24"/>
        </w:rPr>
      </w:pPr>
      <w:r w:rsidRPr="0093182C">
        <w:rPr>
          <w:sz w:val="24"/>
        </w:rPr>
        <w:t xml:space="preserve">　　睾酮是维持男性生长发育和雄性特征的一种非常重要的激素。在性腺机能减退男性中，睾酮水平异常偏低，影响了正常的性发育。睾酮药品通过弥补体内缺乏的睾酮，有助于恢复男性正常的睾酮水平，以确保男性正常的性发育、成熟。</w:t>
      </w:r>
    </w:p>
    <w:p w:rsidR="0093182C" w:rsidRPr="0093182C" w:rsidRDefault="0093182C" w:rsidP="0093182C">
      <w:pPr>
        <w:rPr>
          <w:sz w:val="24"/>
        </w:rPr>
      </w:pPr>
      <w:r w:rsidRPr="0093182C">
        <w:rPr>
          <w:sz w:val="24"/>
        </w:rPr>
        <w:t xml:space="preserve">　　目前，我国上市的睾酮药品包括甲睾酮片、丙酸睾酮注射液、十一酸睾酮胶丸、十一酸睾酮注射液、十一酸睾酮软胶囊、睾酮贴剂等。其中甲睾酮片、丙酸睾酮注射液为《国家基本药物目录（</w:t>
      </w:r>
      <w:r w:rsidRPr="0093182C">
        <w:rPr>
          <w:sz w:val="24"/>
        </w:rPr>
        <w:t>2012</w:t>
      </w:r>
      <w:r w:rsidRPr="0093182C">
        <w:rPr>
          <w:sz w:val="24"/>
        </w:rPr>
        <w:t>年版）》品种。</w:t>
      </w:r>
    </w:p>
    <w:p w:rsidR="0093182C" w:rsidRPr="0093182C" w:rsidRDefault="0093182C" w:rsidP="0093182C">
      <w:pPr>
        <w:rPr>
          <w:sz w:val="24"/>
        </w:rPr>
      </w:pPr>
      <w:r w:rsidRPr="0093182C">
        <w:rPr>
          <w:sz w:val="24"/>
        </w:rPr>
        <w:t xml:space="preserve">　　一、国外监管部门发布的关于睾酮的安全性信息</w:t>
      </w:r>
    </w:p>
    <w:p w:rsidR="0093182C" w:rsidRPr="0093182C" w:rsidRDefault="0093182C" w:rsidP="0093182C">
      <w:pPr>
        <w:rPr>
          <w:sz w:val="24"/>
        </w:rPr>
      </w:pPr>
      <w:r w:rsidRPr="0093182C">
        <w:rPr>
          <w:sz w:val="24"/>
        </w:rPr>
        <w:t xml:space="preserve">　　</w:t>
      </w:r>
      <w:r w:rsidRPr="0093182C">
        <w:rPr>
          <w:sz w:val="24"/>
        </w:rPr>
        <w:t>2014</w:t>
      </w:r>
      <w:r w:rsidRPr="0093182C">
        <w:rPr>
          <w:sz w:val="24"/>
        </w:rPr>
        <w:t>年以来，美国食品药品监督管理局（</w:t>
      </w:r>
      <w:r w:rsidRPr="0093182C">
        <w:rPr>
          <w:sz w:val="24"/>
        </w:rPr>
        <w:t>FDA</w:t>
      </w:r>
      <w:r w:rsidRPr="0093182C">
        <w:rPr>
          <w:sz w:val="24"/>
        </w:rPr>
        <w:t>）、欧洲药品管理局（</w:t>
      </w:r>
      <w:r w:rsidRPr="0093182C">
        <w:rPr>
          <w:sz w:val="24"/>
        </w:rPr>
        <w:t>EMA</w:t>
      </w:r>
      <w:r w:rsidRPr="0093182C">
        <w:rPr>
          <w:sz w:val="24"/>
        </w:rPr>
        <w:t>）、加拿大卫生部等国外监管机构，相继发布了关于睾酮类药品的安全性信息，主要涉及到与心血管方面相关的可能风险。</w:t>
      </w:r>
    </w:p>
    <w:p w:rsidR="0093182C" w:rsidRPr="0093182C" w:rsidRDefault="0093182C" w:rsidP="0093182C">
      <w:pPr>
        <w:rPr>
          <w:sz w:val="24"/>
        </w:rPr>
      </w:pPr>
      <w:r w:rsidRPr="0093182C">
        <w:rPr>
          <w:sz w:val="24"/>
        </w:rPr>
        <w:t xml:space="preserve">　　</w:t>
      </w:r>
      <w:r w:rsidRPr="0093182C">
        <w:rPr>
          <w:sz w:val="24"/>
        </w:rPr>
        <w:t>FDA</w:t>
      </w:r>
      <w:r w:rsidRPr="0093182C">
        <w:rPr>
          <w:sz w:val="24"/>
        </w:rPr>
        <w:t>在</w:t>
      </w:r>
      <w:r w:rsidRPr="0093182C">
        <w:rPr>
          <w:sz w:val="24"/>
        </w:rPr>
        <w:t>2014</w:t>
      </w:r>
      <w:r w:rsidRPr="0093182C">
        <w:rPr>
          <w:sz w:val="24"/>
        </w:rPr>
        <w:t>年</w:t>
      </w:r>
      <w:r w:rsidRPr="0093182C">
        <w:rPr>
          <w:sz w:val="24"/>
        </w:rPr>
        <w:t>1</w:t>
      </w:r>
      <w:r w:rsidRPr="0093182C">
        <w:rPr>
          <w:sz w:val="24"/>
        </w:rPr>
        <w:t>月开始评估睾酮治疗与心血管风险之间的关联性，该评估以两项表明睾酮增加心血管风险的独立研究【</w:t>
      </w:r>
      <w:r w:rsidRPr="0093182C">
        <w:rPr>
          <w:sz w:val="24"/>
        </w:rPr>
        <w:t>1,2</w:t>
      </w:r>
      <w:r w:rsidRPr="0093182C">
        <w:rPr>
          <w:sz w:val="24"/>
        </w:rPr>
        <w:t>】为基础。</w:t>
      </w:r>
      <w:r w:rsidRPr="0093182C">
        <w:rPr>
          <w:sz w:val="24"/>
        </w:rPr>
        <w:t>2014</w:t>
      </w:r>
      <w:r w:rsidRPr="0093182C">
        <w:rPr>
          <w:sz w:val="24"/>
        </w:rPr>
        <w:t>年</w:t>
      </w:r>
      <w:r w:rsidRPr="0093182C">
        <w:rPr>
          <w:sz w:val="24"/>
        </w:rPr>
        <w:t>6</w:t>
      </w:r>
      <w:r w:rsidRPr="0093182C">
        <w:rPr>
          <w:sz w:val="24"/>
        </w:rPr>
        <w:t>月，</w:t>
      </w:r>
      <w:r w:rsidRPr="0093182C">
        <w:rPr>
          <w:sz w:val="24"/>
        </w:rPr>
        <w:t>FDA</w:t>
      </w:r>
      <w:r w:rsidRPr="0093182C">
        <w:rPr>
          <w:sz w:val="24"/>
        </w:rPr>
        <w:t>发布信息，要求在说明书警告和注意事项中加入静脉血栓风险；</w:t>
      </w:r>
      <w:r w:rsidRPr="0093182C">
        <w:rPr>
          <w:sz w:val="24"/>
        </w:rPr>
        <w:t>2015</w:t>
      </w:r>
      <w:r w:rsidRPr="0093182C">
        <w:rPr>
          <w:sz w:val="24"/>
        </w:rPr>
        <w:t>年</w:t>
      </w:r>
      <w:r w:rsidRPr="0093182C">
        <w:rPr>
          <w:sz w:val="24"/>
        </w:rPr>
        <w:t>3</w:t>
      </w:r>
      <w:r w:rsidRPr="0093182C">
        <w:rPr>
          <w:sz w:val="24"/>
        </w:rPr>
        <w:t>月，</w:t>
      </w:r>
      <w:r w:rsidRPr="0093182C">
        <w:rPr>
          <w:sz w:val="24"/>
        </w:rPr>
        <w:t>FDA</w:t>
      </w:r>
      <w:r w:rsidRPr="0093182C">
        <w:rPr>
          <w:sz w:val="24"/>
        </w:rPr>
        <w:t>发布了更新信息，认为使用睾酮产品发生卒中、心脏病发作和死亡的风险增高，要求睾酮制造商在产品说明书上详细说明适应症以及尚未在高龄所致睾酮水平降低的治疗中证实这些药物的获益和安全性，同时还要求在说明书不良反应项和注意事项中添加</w:t>
      </w:r>
      <w:r w:rsidRPr="0093182C">
        <w:rPr>
          <w:sz w:val="24"/>
        </w:rPr>
        <w:t>“</w:t>
      </w:r>
      <w:r w:rsidRPr="0093182C">
        <w:rPr>
          <w:sz w:val="24"/>
        </w:rPr>
        <w:t>服用睾酮的患者心脏病发作和卒中风险可能增加</w:t>
      </w:r>
      <w:r w:rsidRPr="0093182C">
        <w:rPr>
          <w:sz w:val="24"/>
        </w:rPr>
        <w:t>”</w:t>
      </w:r>
      <w:r w:rsidRPr="0093182C">
        <w:rPr>
          <w:sz w:val="24"/>
        </w:rPr>
        <w:t>的相关信息等。</w:t>
      </w:r>
      <w:r w:rsidRPr="0093182C">
        <w:rPr>
          <w:sz w:val="24"/>
        </w:rPr>
        <w:t>2016</w:t>
      </w:r>
      <w:r w:rsidRPr="0093182C">
        <w:rPr>
          <w:sz w:val="24"/>
        </w:rPr>
        <w:t>年</w:t>
      </w:r>
      <w:r w:rsidRPr="0093182C">
        <w:rPr>
          <w:sz w:val="24"/>
        </w:rPr>
        <w:t>10</w:t>
      </w:r>
      <w:r w:rsidRPr="0093182C">
        <w:rPr>
          <w:sz w:val="24"/>
        </w:rPr>
        <w:t>月，</w:t>
      </w:r>
      <w:r w:rsidRPr="0093182C">
        <w:rPr>
          <w:sz w:val="24"/>
        </w:rPr>
        <w:t>FDA</w:t>
      </w:r>
      <w:r w:rsidRPr="0093182C">
        <w:rPr>
          <w:sz w:val="24"/>
        </w:rPr>
        <w:t>再次发布消息，要求在说明书警告中以及药物滥用和依赖部分中加入新的信息，警示滥用睾酮药品所导致的严重不良反应，通常包括心脏病发作、心力衰竭、卒中、抑郁、敌对、攻击性、肝毒性和男性不育症等。</w:t>
      </w:r>
    </w:p>
    <w:p w:rsidR="0093182C" w:rsidRPr="0093182C" w:rsidRDefault="0093182C" w:rsidP="0093182C">
      <w:pPr>
        <w:rPr>
          <w:sz w:val="24"/>
        </w:rPr>
      </w:pPr>
      <w:r w:rsidRPr="0093182C">
        <w:rPr>
          <w:sz w:val="24"/>
        </w:rPr>
        <w:t xml:space="preserve">　　同样基于上述发表的两项研究，</w:t>
      </w:r>
      <w:r w:rsidRPr="0093182C">
        <w:rPr>
          <w:sz w:val="24"/>
        </w:rPr>
        <w:t>EMA</w:t>
      </w:r>
      <w:r w:rsidRPr="0093182C">
        <w:rPr>
          <w:sz w:val="24"/>
        </w:rPr>
        <w:t>在</w:t>
      </w:r>
      <w:r w:rsidRPr="0093182C">
        <w:rPr>
          <w:sz w:val="24"/>
        </w:rPr>
        <w:t>2014</w:t>
      </w:r>
      <w:r w:rsidRPr="0093182C">
        <w:rPr>
          <w:sz w:val="24"/>
        </w:rPr>
        <w:t>年</w:t>
      </w:r>
      <w:r w:rsidRPr="0093182C">
        <w:rPr>
          <w:sz w:val="24"/>
        </w:rPr>
        <w:t>4</w:t>
      </w:r>
      <w:r w:rsidRPr="0093182C">
        <w:rPr>
          <w:sz w:val="24"/>
        </w:rPr>
        <w:t>月开始对睾酮药品进行评估，关注对心脏的不良反应。</w:t>
      </w:r>
      <w:r w:rsidRPr="0093182C">
        <w:rPr>
          <w:sz w:val="24"/>
        </w:rPr>
        <w:t>2014</w:t>
      </w:r>
      <w:r w:rsidRPr="0093182C">
        <w:rPr>
          <w:sz w:val="24"/>
        </w:rPr>
        <w:t>年</w:t>
      </w:r>
      <w:r w:rsidRPr="0093182C">
        <w:rPr>
          <w:sz w:val="24"/>
        </w:rPr>
        <w:t>11</w:t>
      </w:r>
      <w:r w:rsidRPr="0093182C">
        <w:rPr>
          <w:sz w:val="24"/>
        </w:rPr>
        <w:t>月，</w:t>
      </w:r>
      <w:r w:rsidRPr="0093182C">
        <w:rPr>
          <w:sz w:val="24"/>
        </w:rPr>
        <w:t>EMA</w:t>
      </w:r>
      <w:r w:rsidRPr="0093182C">
        <w:rPr>
          <w:sz w:val="24"/>
        </w:rPr>
        <w:t>在欧盟范围内完成了对睾酮药品的评估，并得出结论：没有一致证据表明体内缺乏睾酮男性在使用睾酮类药品时可增加心脏问题风险，建议该类药物可继续用于其获准的适应症，并要求制药厂商更新说明书，修改警告和注意事项。</w:t>
      </w:r>
    </w:p>
    <w:p w:rsidR="0093182C" w:rsidRPr="0093182C" w:rsidRDefault="0093182C" w:rsidP="0093182C">
      <w:pPr>
        <w:rPr>
          <w:sz w:val="24"/>
        </w:rPr>
      </w:pPr>
      <w:r w:rsidRPr="0093182C">
        <w:rPr>
          <w:sz w:val="24"/>
        </w:rPr>
        <w:t xml:space="preserve">　　</w:t>
      </w:r>
      <w:r w:rsidRPr="0093182C">
        <w:rPr>
          <w:sz w:val="24"/>
        </w:rPr>
        <w:t>2014</w:t>
      </w:r>
      <w:r w:rsidRPr="0093182C">
        <w:rPr>
          <w:sz w:val="24"/>
        </w:rPr>
        <w:t>年</w:t>
      </w:r>
      <w:r w:rsidRPr="0093182C">
        <w:rPr>
          <w:sz w:val="24"/>
        </w:rPr>
        <w:t>7</w:t>
      </w:r>
      <w:r w:rsidRPr="0093182C">
        <w:rPr>
          <w:sz w:val="24"/>
        </w:rPr>
        <w:t>月，加拿大卫生部做出评估：使用睾酮药品可能与潜在危及生命的心血管危险相关。加拿大卫生部完成的一项安全性回顾研究发现，越来越多的证据提示应用睾酮替代药品可出现严重和可能危及生命的心脏和血管问题，如心脏病发作、卒中、肺或下肢血栓、心律失常或加重其程度。这些证据来源于已发布文献和国内外药品监管机构收集案例。加拿大卫生部要求制药厂商修订产品说明书以提示该风险。</w:t>
      </w:r>
    </w:p>
    <w:p w:rsidR="0093182C" w:rsidRPr="0093182C" w:rsidRDefault="0093182C" w:rsidP="0093182C">
      <w:pPr>
        <w:rPr>
          <w:sz w:val="24"/>
        </w:rPr>
      </w:pPr>
      <w:r w:rsidRPr="0093182C">
        <w:rPr>
          <w:sz w:val="24"/>
        </w:rPr>
        <w:t xml:space="preserve">　　二、</w:t>
      </w:r>
      <w:r w:rsidRPr="0093182C">
        <w:rPr>
          <w:sz w:val="24"/>
        </w:rPr>
        <w:t xml:space="preserve"> </w:t>
      </w:r>
      <w:r w:rsidRPr="0093182C">
        <w:rPr>
          <w:sz w:val="24"/>
        </w:rPr>
        <w:t>关于睾酮药品的不良反应监测情况</w:t>
      </w:r>
    </w:p>
    <w:p w:rsidR="0093182C" w:rsidRPr="0093182C" w:rsidRDefault="0093182C" w:rsidP="0093182C">
      <w:pPr>
        <w:rPr>
          <w:sz w:val="24"/>
        </w:rPr>
      </w:pPr>
      <w:r w:rsidRPr="0093182C">
        <w:rPr>
          <w:sz w:val="24"/>
        </w:rPr>
        <w:t xml:space="preserve">　　</w:t>
      </w:r>
      <w:r w:rsidRPr="0093182C">
        <w:rPr>
          <w:sz w:val="24"/>
        </w:rPr>
        <w:t xml:space="preserve">1. </w:t>
      </w:r>
      <w:r w:rsidRPr="0093182C">
        <w:rPr>
          <w:sz w:val="24"/>
        </w:rPr>
        <w:t>国内药品不良反应数据库情况</w:t>
      </w:r>
    </w:p>
    <w:p w:rsidR="0093182C" w:rsidRPr="0093182C" w:rsidRDefault="0093182C" w:rsidP="0093182C">
      <w:pPr>
        <w:rPr>
          <w:sz w:val="24"/>
        </w:rPr>
      </w:pPr>
      <w:r w:rsidRPr="0093182C">
        <w:rPr>
          <w:sz w:val="24"/>
        </w:rPr>
        <w:t xml:space="preserve">　　</w:t>
      </w:r>
      <w:r w:rsidRPr="0093182C">
        <w:rPr>
          <w:sz w:val="24"/>
        </w:rPr>
        <w:t>2004</w:t>
      </w:r>
      <w:r w:rsidRPr="0093182C">
        <w:rPr>
          <w:sz w:val="24"/>
        </w:rPr>
        <w:t>年</w:t>
      </w:r>
      <w:r w:rsidRPr="0093182C">
        <w:rPr>
          <w:sz w:val="24"/>
        </w:rPr>
        <w:t>1</w:t>
      </w:r>
      <w:r w:rsidRPr="0093182C">
        <w:rPr>
          <w:sz w:val="24"/>
        </w:rPr>
        <w:t>月</w:t>
      </w:r>
      <w:r w:rsidRPr="0093182C">
        <w:rPr>
          <w:sz w:val="24"/>
        </w:rPr>
        <w:t>1</w:t>
      </w:r>
      <w:r w:rsidRPr="0093182C">
        <w:rPr>
          <w:sz w:val="24"/>
        </w:rPr>
        <w:t>日至</w:t>
      </w:r>
      <w:r w:rsidRPr="0093182C">
        <w:rPr>
          <w:sz w:val="24"/>
        </w:rPr>
        <w:t>2016</w:t>
      </w:r>
      <w:r w:rsidRPr="0093182C">
        <w:rPr>
          <w:sz w:val="24"/>
        </w:rPr>
        <w:t>年</w:t>
      </w:r>
      <w:r w:rsidRPr="0093182C">
        <w:rPr>
          <w:sz w:val="24"/>
        </w:rPr>
        <w:t>5</w:t>
      </w:r>
      <w:r w:rsidRPr="0093182C">
        <w:rPr>
          <w:sz w:val="24"/>
        </w:rPr>
        <w:t>月</w:t>
      </w:r>
      <w:r w:rsidRPr="0093182C">
        <w:rPr>
          <w:sz w:val="24"/>
        </w:rPr>
        <w:t>31</w:t>
      </w:r>
      <w:r w:rsidRPr="0093182C">
        <w:rPr>
          <w:sz w:val="24"/>
        </w:rPr>
        <w:t>日，国家药品不良反应监测中心病例报告数据库检索到睾酮药品病例报告</w:t>
      </w:r>
      <w:r w:rsidRPr="0093182C">
        <w:rPr>
          <w:sz w:val="24"/>
        </w:rPr>
        <w:t>311</w:t>
      </w:r>
      <w:r w:rsidRPr="0093182C">
        <w:rPr>
          <w:sz w:val="24"/>
        </w:rPr>
        <w:t>例，其中严重报告</w:t>
      </w:r>
      <w:r w:rsidRPr="0093182C">
        <w:rPr>
          <w:sz w:val="24"/>
        </w:rPr>
        <w:t>28</w:t>
      </w:r>
      <w:r w:rsidRPr="0093182C">
        <w:rPr>
          <w:sz w:val="24"/>
        </w:rPr>
        <w:t>例，占比</w:t>
      </w:r>
      <w:r w:rsidRPr="0093182C">
        <w:rPr>
          <w:sz w:val="24"/>
        </w:rPr>
        <w:t>9.00%</w:t>
      </w:r>
      <w:r w:rsidRPr="0093182C">
        <w:rPr>
          <w:sz w:val="24"/>
        </w:rPr>
        <w:t>，无死亡病例。不良反应主要累及胃肠损害（</w:t>
      </w:r>
      <w:r w:rsidRPr="0093182C">
        <w:rPr>
          <w:sz w:val="24"/>
        </w:rPr>
        <w:t>20.86%</w:t>
      </w:r>
      <w:r w:rsidRPr="0093182C">
        <w:rPr>
          <w:sz w:val="24"/>
        </w:rPr>
        <w:t>）、皮肤及其附件损害（</w:t>
      </w:r>
      <w:r w:rsidRPr="0093182C">
        <w:rPr>
          <w:sz w:val="24"/>
        </w:rPr>
        <w:t>17.01%</w:t>
      </w:r>
      <w:r w:rsidRPr="0093182C">
        <w:rPr>
          <w:sz w:val="24"/>
        </w:rPr>
        <w:t>）、全身性损害（</w:t>
      </w:r>
      <w:r w:rsidRPr="0093182C">
        <w:rPr>
          <w:sz w:val="24"/>
        </w:rPr>
        <w:t>10.43%</w:t>
      </w:r>
      <w:r w:rsidRPr="0093182C">
        <w:rPr>
          <w:sz w:val="24"/>
        </w:rPr>
        <w:t>）等。其中涉及到心血管系统损害病例报告数占总报告的</w:t>
      </w:r>
      <w:r w:rsidRPr="0093182C">
        <w:rPr>
          <w:sz w:val="24"/>
        </w:rPr>
        <w:t>5.47%</w:t>
      </w:r>
      <w:r w:rsidRPr="0093182C">
        <w:rPr>
          <w:sz w:val="24"/>
        </w:rPr>
        <w:t>，不良反应主要表现为心悸、高血压、心律失常、心力衰竭等。未收到国外关注的心脏病发作、脑卒中、静脉血栓等不良反应病例报告。</w:t>
      </w:r>
    </w:p>
    <w:p w:rsidR="0093182C" w:rsidRPr="0093182C" w:rsidRDefault="0093182C" w:rsidP="0093182C">
      <w:pPr>
        <w:rPr>
          <w:sz w:val="24"/>
        </w:rPr>
      </w:pPr>
      <w:r w:rsidRPr="0093182C">
        <w:rPr>
          <w:sz w:val="24"/>
        </w:rPr>
        <w:lastRenderedPageBreak/>
        <w:t xml:space="preserve">　　</w:t>
      </w:r>
      <w:r w:rsidRPr="0093182C">
        <w:rPr>
          <w:sz w:val="24"/>
        </w:rPr>
        <w:t>2. WHO</w:t>
      </w:r>
      <w:r w:rsidRPr="0093182C">
        <w:rPr>
          <w:sz w:val="24"/>
        </w:rPr>
        <w:t>药品不良反应数据库情况</w:t>
      </w:r>
    </w:p>
    <w:p w:rsidR="0093182C" w:rsidRPr="0093182C" w:rsidRDefault="0093182C" w:rsidP="0093182C">
      <w:pPr>
        <w:rPr>
          <w:sz w:val="24"/>
        </w:rPr>
      </w:pPr>
      <w:r w:rsidRPr="0093182C">
        <w:rPr>
          <w:sz w:val="24"/>
        </w:rPr>
        <w:t xml:space="preserve">　　以睾酮的英文名称</w:t>
      </w:r>
      <w:r w:rsidRPr="0093182C">
        <w:rPr>
          <w:sz w:val="24"/>
        </w:rPr>
        <w:t>“testosterone”</w:t>
      </w:r>
      <w:r w:rsidRPr="0093182C">
        <w:rPr>
          <w:sz w:val="24"/>
        </w:rPr>
        <w:t>检索</w:t>
      </w:r>
      <w:r w:rsidRPr="0093182C">
        <w:rPr>
          <w:sz w:val="24"/>
        </w:rPr>
        <w:t>WHO</w:t>
      </w:r>
      <w:r w:rsidRPr="0093182C">
        <w:rPr>
          <w:sz w:val="24"/>
        </w:rPr>
        <w:t>药品不良反应数据库，截止到</w:t>
      </w:r>
      <w:r w:rsidRPr="0093182C">
        <w:rPr>
          <w:sz w:val="24"/>
        </w:rPr>
        <w:t>2016</w:t>
      </w:r>
      <w:r w:rsidRPr="0093182C">
        <w:rPr>
          <w:sz w:val="24"/>
        </w:rPr>
        <w:t>年</w:t>
      </w:r>
      <w:r w:rsidRPr="0093182C">
        <w:rPr>
          <w:sz w:val="24"/>
        </w:rPr>
        <w:t>5</w:t>
      </w:r>
      <w:r w:rsidRPr="0093182C">
        <w:rPr>
          <w:sz w:val="24"/>
        </w:rPr>
        <w:t>月</w:t>
      </w:r>
      <w:r w:rsidRPr="0093182C">
        <w:rPr>
          <w:sz w:val="24"/>
        </w:rPr>
        <w:t>31</w:t>
      </w:r>
      <w:r w:rsidRPr="0093182C">
        <w:rPr>
          <w:sz w:val="24"/>
        </w:rPr>
        <w:t>日，共检索到睾酮药品的不良反应报告</w:t>
      </w:r>
      <w:r w:rsidRPr="0093182C">
        <w:rPr>
          <w:sz w:val="24"/>
        </w:rPr>
        <w:t>22135</w:t>
      </w:r>
      <w:r w:rsidRPr="0093182C">
        <w:rPr>
          <w:sz w:val="24"/>
        </w:rPr>
        <w:t>例，不良反应表现</w:t>
      </w:r>
      <w:r w:rsidRPr="0093182C">
        <w:rPr>
          <w:sz w:val="24"/>
        </w:rPr>
        <w:t>42987</w:t>
      </w:r>
      <w:r w:rsidRPr="0093182C">
        <w:rPr>
          <w:sz w:val="24"/>
        </w:rPr>
        <w:t>例次。主要累及系统为全身性损害、生殖系统损害、精神疾病等。主要不良反应表现为药物无效（</w:t>
      </w:r>
      <w:r w:rsidRPr="0093182C">
        <w:rPr>
          <w:sz w:val="24"/>
        </w:rPr>
        <w:t>2139</w:t>
      </w:r>
      <w:r w:rsidRPr="0093182C">
        <w:rPr>
          <w:sz w:val="24"/>
        </w:rPr>
        <w:t>例次）、睾酮降低（</w:t>
      </w:r>
      <w:r w:rsidRPr="0093182C">
        <w:rPr>
          <w:sz w:val="24"/>
        </w:rPr>
        <w:t>2095</w:t>
      </w:r>
      <w:r w:rsidRPr="0093182C">
        <w:rPr>
          <w:sz w:val="24"/>
        </w:rPr>
        <w:t>例次）、心肌梗塞（</w:t>
      </w:r>
      <w:r w:rsidRPr="0093182C">
        <w:rPr>
          <w:sz w:val="24"/>
        </w:rPr>
        <w:t>1727</w:t>
      </w:r>
      <w:r w:rsidRPr="0093182C">
        <w:rPr>
          <w:sz w:val="24"/>
        </w:rPr>
        <w:t>例次）、疼痛（</w:t>
      </w:r>
      <w:r w:rsidRPr="0093182C">
        <w:rPr>
          <w:sz w:val="24"/>
        </w:rPr>
        <w:t>1497</w:t>
      </w:r>
      <w:r w:rsidRPr="0093182C">
        <w:rPr>
          <w:sz w:val="24"/>
        </w:rPr>
        <w:t>例次）、脑卒中（</w:t>
      </w:r>
      <w:r w:rsidRPr="0093182C">
        <w:rPr>
          <w:sz w:val="24"/>
        </w:rPr>
        <w:t>1059</w:t>
      </w:r>
      <w:r w:rsidRPr="0093182C">
        <w:rPr>
          <w:sz w:val="24"/>
        </w:rPr>
        <w:t>例次）、注射部位反应（</w:t>
      </w:r>
      <w:r w:rsidRPr="0093182C">
        <w:rPr>
          <w:sz w:val="24"/>
        </w:rPr>
        <w:t>1009</w:t>
      </w:r>
      <w:r w:rsidRPr="0093182C">
        <w:rPr>
          <w:sz w:val="24"/>
        </w:rPr>
        <w:t>例次）、栓塞（</w:t>
      </w:r>
      <w:r w:rsidRPr="0093182C">
        <w:rPr>
          <w:sz w:val="24"/>
        </w:rPr>
        <w:t>997</w:t>
      </w:r>
      <w:r w:rsidRPr="0093182C">
        <w:rPr>
          <w:sz w:val="24"/>
        </w:rPr>
        <w:t>例次）、情绪不稳（</w:t>
      </w:r>
      <w:r w:rsidRPr="0093182C">
        <w:rPr>
          <w:sz w:val="24"/>
        </w:rPr>
        <w:t>997</w:t>
      </w:r>
      <w:r w:rsidRPr="0093182C">
        <w:rPr>
          <w:sz w:val="24"/>
        </w:rPr>
        <w:t>例次）、深静脉血栓形成（</w:t>
      </w:r>
      <w:r w:rsidRPr="0093182C">
        <w:rPr>
          <w:sz w:val="24"/>
        </w:rPr>
        <w:t>898</w:t>
      </w:r>
      <w:r w:rsidRPr="0093182C">
        <w:rPr>
          <w:sz w:val="24"/>
        </w:rPr>
        <w:t>例次）等。国外关注的心肌梗塞、脑卒中、静脉血栓等风险例次排名位居前列。</w:t>
      </w:r>
    </w:p>
    <w:p w:rsidR="0093182C" w:rsidRPr="0093182C" w:rsidRDefault="0093182C" w:rsidP="0093182C">
      <w:pPr>
        <w:rPr>
          <w:sz w:val="24"/>
        </w:rPr>
      </w:pPr>
      <w:r w:rsidRPr="0093182C">
        <w:rPr>
          <w:sz w:val="24"/>
        </w:rPr>
        <w:t xml:space="preserve">　　</w:t>
      </w:r>
      <w:r w:rsidRPr="0093182C">
        <w:rPr>
          <w:sz w:val="24"/>
        </w:rPr>
        <w:t>3</w:t>
      </w:r>
      <w:r w:rsidRPr="0093182C">
        <w:rPr>
          <w:sz w:val="24"/>
        </w:rPr>
        <w:t>．国内文献情况</w:t>
      </w:r>
    </w:p>
    <w:p w:rsidR="0093182C" w:rsidRPr="0093182C" w:rsidRDefault="0093182C" w:rsidP="0093182C">
      <w:pPr>
        <w:rPr>
          <w:sz w:val="24"/>
        </w:rPr>
      </w:pPr>
      <w:r w:rsidRPr="0093182C">
        <w:rPr>
          <w:sz w:val="24"/>
        </w:rPr>
        <w:t xml:space="preserve">　　检索中国知网文献数据库，涉及睾酮药品安全性文献</w:t>
      </w:r>
      <w:r w:rsidRPr="0093182C">
        <w:rPr>
          <w:sz w:val="24"/>
        </w:rPr>
        <w:t>43</w:t>
      </w:r>
      <w:r w:rsidRPr="0093182C">
        <w:rPr>
          <w:sz w:val="24"/>
        </w:rPr>
        <w:t>篇，不良反应主要表现为红细胞压积升高、血红蛋白升高、血清前列素特异抗原升高、痤疮、肝肾损害、肝功异常、下肢水肿、恶心、胃部不适、头晕、头痛、潮红、牙龈增生、体重增加、血压升高、多毛等。未发现心血管风险事件的报道。</w:t>
      </w:r>
    </w:p>
    <w:p w:rsidR="0093182C" w:rsidRPr="0093182C" w:rsidRDefault="0093182C" w:rsidP="0093182C">
      <w:pPr>
        <w:rPr>
          <w:sz w:val="24"/>
        </w:rPr>
      </w:pPr>
      <w:r w:rsidRPr="0093182C">
        <w:rPr>
          <w:sz w:val="24"/>
        </w:rPr>
        <w:t xml:space="preserve">　　三、建议</w:t>
      </w:r>
    </w:p>
    <w:p w:rsidR="0093182C" w:rsidRPr="0093182C" w:rsidRDefault="0093182C" w:rsidP="0093182C">
      <w:pPr>
        <w:rPr>
          <w:sz w:val="24"/>
        </w:rPr>
      </w:pPr>
      <w:r w:rsidRPr="0093182C">
        <w:rPr>
          <w:sz w:val="24"/>
        </w:rPr>
        <w:t xml:space="preserve">　　</w:t>
      </w:r>
      <w:r w:rsidRPr="0093182C">
        <w:rPr>
          <w:sz w:val="24"/>
        </w:rPr>
        <w:t>1.</w:t>
      </w:r>
      <w:r w:rsidRPr="0093182C">
        <w:rPr>
          <w:sz w:val="24"/>
        </w:rPr>
        <w:t>医务人员关注国外相关流行病学研究发现的睾酮药品的心脏病发作、卒中和死亡等风险；在治疗过程中加强睾酮激素水平的检测，如发现相关药品不良反应，请及时上报。</w:t>
      </w:r>
    </w:p>
    <w:p w:rsidR="0093182C" w:rsidRPr="0093182C" w:rsidRDefault="0093182C" w:rsidP="0093182C">
      <w:pPr>
        <w:rPr>
          <w:sz w:val="24"/>
        </w:rPr>
      </w:pPr>
      <w:r w:rsidRPr="0093182C">
        <w:rPr>
          <w:sz w:val="24"/>
        </w:rPr>
        <w:t xml:space="preserve">　　</w:t>
      </w:r>
      <w:r w:rsidRPr="0093182C">
        <w:rPr>
          <w:sz w:val="24"/>
        </w:rPr>
        <w:t>2.</w:t>
      </w:r>
      <w:r w:rsidRPr="0093182C">
        <w:rPr>
          <w:sz w:val="24"/>
        </w:rPr>
        <w:t>患者在使用睾酮药品过程中，当出现胸痛、呼吸急促或呼吸困难、身体部分或一侧虚弱、口齿不清等症状时，请立即就医。</w:t>
      </w:r>
    </w:p>
    <w:p w:rsidR="0093182C" w:rsidRPr="0093182C" w:rsidRDefault="0093182C" w:rsidP="0093182C">
      <w:pPr>
        <w:rPr>
          <w:sz w:val="24"/>
        </w:rPr>
      </w:pPr>
      <w:r w:rsidRPr="0093182C">
        <w:rPr>
          <w:sz w:val="24"/>
        </w:rPr>
        <w:t xml:space="preserve">　　</w:t>
      </w:r>
      <w:r w:rsidRPr="0093182C">
        <w:rPr>
          <w:sz w:val="24"/>
        </w:rPr>
        <w:t>3.</w:t>
      </w:r>
      <w:r w:rsidRPr="0093182C">
        <w:rPr>
          <w:sz w:val="24"/>
        </w:rPr>
        <w:t>药品生产企业应当加强不良反应监测，并及时将相关安全性信息传达给医务人员和患者。</w:t>
      </w:r>
    </w:p>
    <w:p w:rsidR="00D86A9A" w:rsidRPr="0093182C" w:rsidRDefault="00D86A9A" w:rsidP="00513E8B">
      <w:pPr>
        <w:spacing w:line="420" w:lineRule="exact"/>
        <w:contextualSpacing/>
        <w:jc w:val="left"/>
        <w:textAlignment w:val="center"/>
        <w:rPr>
          <w:rFonts w:ascii="Helvetica" w:eastAsia="宋体" w:hAnsi="Helvetica" w:cs="宋体"/>
          <w:color w:val="5F5F5F"/>
          <w:kern w:val="0"/>
          <w:sz w:val="20"/>
          <w:szCs w:val="20"/>
        </w:rPr>
        <w:sectPr w:rsidR="00D86A9A" w:rsidRPr="0093182C" w:rsidSect="00800C91">
          <w:pgSz w:w="11906" w:h="16838"/>
          <w:pgMar w:top="1440" w:right="1800" w:bottom="1440" w:left="1800" w:header="851" w:footer="992" w:gutter="0"/>
          <w:cols w:space="425"/>
          <w:docGrid w:type="lines" w:linePitch="312"/>
        </w:sectPr>
      </w:pPr>
    </w:p>
    <w:p w:rsidR="00A623A1" w:rsidRDefault="00D86A9A" w:rsidP="00513E8B">
      <w:pPr>
        <w:spacing w:line="420" w:lineRule="exact"/>
        <w:contextualSpacing/>
        <w:jc w:val="left"/>
        <w:textAlignment w:val="center"/>
        <w:rPr>
          <w:rFonts w:ascii="Helvetica" w:eastAsia="宋体" w:hAnsi="Helvetica" w:cs="宋体"/>
          <w:color w:val="5F5F5F"/>
          <w:kern w:val="0"/>
          <w:sz w:val="28"/>
          <w:szCs w:val="28"/>
        </w:rPr>
      </w:pPr>
      <w:r w:rsidRPr="00D86A9A">
        <w:rPr>
          <w:rFonts w:ascii="Helvetica" w:eastAsia="宋体" w:hAnsi="Helvetica" w:cs="宋体" w:hint="eastAsia"/>
          <w:color w:val="5F5F5F"/>
          <w:kern w:val="0"/>
          <w:sz w:val="28"/>
          <w:szCs w:val="28"/>
        </w:rPr>
        <w:lastRenderedPageBreak/>
        <w:t>【新药信息】</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药品名称</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通用名称：蟾酥注射液</w:t>
      </w:r>
      <w:r w:rsidRPr="000E79D6">
        <w:rPr>
          <w:rFonts w:ascii="Helvetica" w:eastAsia="宋体" w:hAnsi="Helvetica" w:cs="宋体"/>
          <w:color w:val="5F5F5F"/>
          <w:kern w:val="0"/>
          <w:sz w:val="20"/>
          <w:szCs w:val="20"/>
        </w:rPr>
        <w:br/>
      </w:r>
      <w:r w:rsidRPr="000E79D6">
        <w:rPr>
          <w:rFonts w:ascii="Helvetica" w:eastAsia="宋体" w:hAnsi="Helvetica" w:cs="宋体"/>
          <w:color w:val="5F5F5F"/>
          <w:kern w:val="0"/>
          <w:sz w:val="20"/>
          <w:szCs w:val="20"/>
        </w:rPr>
        <w:t>商品名称：史君轻</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成份</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line="220" w:lineRule="exact"/>
        <w:ind w:left="720"/>
        <w:jc w:val="left"/>
        <w:rPr>
          <w:rFonts w:ascii="Helvetica" w:eastAsia="宋体" w:hAnsi="Helvetica" w:cs="宋体"/>
          <w:color w:val="5F5F5F"/>
          <w:kern w:val="0"/>
          <w:sz w:val="20"/>
          <w:szCs w:val="20"/>
        </w:rPr>
      </w:pPr>
      <w:r w:rsidRPr="000E79D6">
        <w:rPr>
          <w:rFonts w:ascii="Helvetica" w:eastAsia="宋体" w:hAnsi="Helvetica" w:cs="宋体"/>
          <w:b/>
          <w:bCs/>
          <w:color w:val="5F5F5F"/>
          <w:kern w:val="0"/>
          <w:sz w:val="20"/>
        </w:rPr>
        <w:t>主要成分：</w:t>
      </w:r>
      <w:r w:rsidRPr="000E79D6">
        <w:rPr>
          <w:rFonts w:ascii="Helvetica" w:eastAsia="宋体" w:hAnsi="Helvetica" w:cs="宋体"/>
          <w:color w:val="5F5F5F"/>
          <w:kern w:val="0"/>
          <w:sz w:val="20"/>
          <w:szCs w:val="20"/>
        </w:rPr>
        <w:t>蟾酥。</w:t>
      </w:r>
    </w:p>
    <w:p w:rsidR="000E79D6" w:rsidRPr="000E79D6" w:rsidRDefault="000E79D6" w:rsidP="008572DE">
      <w:pPr>
        <w:widowControl/>
        <w:shd w:val="clear" w:color="auto" w:fill="FFFFFF"/>
        <w:spacing w:line="220" w:lineRule="exact"/>
        <w:ind w:left="720"/>
        <w:jc w:val="left"/>
        <w:rPr>
          <w:rFonts w:ascii="Helvetica" w:eastAsia="宋体" w:hAnsi="Helvetica" w:cs="宋体"/>
          <w:color w:val="5F5F5F"/>
          <w:kern w:val="0"/>
          <w:sz w:val="20"/>
          <w:szCs w:val="20"/>
        </w:rPr>
      </w:pPr>
      <w:r w:rsidRPr="000E79D6">
        <w:rPr>
          <w:rFonts w:ascii="Helvetica" w:eastAsia="宋体" w:hAnsi="Helvetica" w:cs="宋体"/>
          <w:b/>
          <w:bCs/>
          <w:color w:val="5F5F5F"/>
          <w:kern w:val="0"/>
          <w:sz w:val="20"/>
        </w:rPr>
        <w:t>辅料：</w:t>
      </w:r>
      <w:r w:rsidRPr="000E79D6">
        <w:rPr>
          <w:rFonts w:ascii="Helvetica" w:eastAsia="宋体" w:hAnsi="Helvetica" w:cs="宋体"/>
          <w:color w:val="5F5F5F"/>
          <w:kern w:val="0"/>
          <w:sz w:val="20"/>
          <w:szCs w:val="20"/>
        </w:rPr>
        <w:t> </w:t>
      </w:r>
      <w:r w:rsidRPr="000E79D6">
        <w:rPr>
          <w:rFonts w:ascii="Helvetica" w:eastAsia="宋体" w:hAnsi="Helvetica" w:cs="宋体"/>
          <w:color w:val="5F5F5F"/>
          <w:kern w:val="0"/>
          <w:sz w:val="20"/>
          <w:szCs w:val="20"/>
        </w:rPr>
        <w:t>无水亚硫酸钠、氯化钠、苯甲醇。</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适应症</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after="375"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清热解毒。用于急性、慢性化脓性感染；亦可作为抗肿瘤辅助用药。</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用法用量</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after="375"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肌内注射，一次</w:t>
      </w:r>
      <w:r w:rsidRPr="000E79D6">
        <w:rPr>
          <w:rFonts w:ascii="Helvetica" w:eastAsia="宋体" w:hAnsi="Helvetica" w:cs="宋体"/>
          <w:color w:val="5F5F5F"/>
          <w:kern w:val="0"/>
          <w:sz w:val="20"/>
          <w:szCs w:val="20"/>
        </w:rPr>
        <w:t>2-4ml(</w:t>
      </w:r>
      <w:r w:rsidRPr="000E79D6">
        <w:rPr>
          <w:rFonts w:ascii="Helvetica" w:eastAsia="宋体" w:hAnsi="Helvetica" w:cs="宋体"/>
          <w:color w:val="5F5F5F"/>
          <w:kern w:val="0"/>
          <w:sz w:val="20"/>
          <w:szCs w:val="20"/>
        </w:rPr>
        <w:t>一次</w:t>
      </w:r>
      <w:r w:rsidRPr="000E79D6">
        <w:rPr>
          <w:rFonts w:ascii="Helvetica" w:eastAsia="宋体" w:hAnsi="Helvetica" w:cs="宋体"/>
          <w:color w:val="5F5F5F"/>
          <w:kern w:val="0"/>
          <w:sz w:val="20"/>
          <w:szCs w:val="20"/>
        </w:rPr>
        <w:t>1</w:t>
      </w:r>
      <w:r w:rsidRPr="000E79D6">
        <w:rPr>
          <w:rFonts w:ascii="Helvetica" w:eastAsia="宋体" w:hAnsi="Helvetica" w:cs="宋体"/>
          <w:color w:val="5F5F5F"/>
          <w:kern w:val="0"/>
          <w:sz w:val="20"/>
          <w:szCs w:val="20"/>
        </w:rPr>
        <w:t>～</w:t>
      </w:r>
      <w:r w:rsidRPr="000E79D6">
        <w:rPr>
          <w:rFonts w:ascii="Helvetica" w:eastAsia="宋体" w:hAnsi="Helvetica" w:cs="宋体"/>
          <w:color w:val="5F5F5F"/>
          <w:kern w:val="0"/>
          <w:sz w:val="20"/>
          <w:szCs w:val="20"/>
        </w:rPr>
        <w:t>2</w:t>
      </w:r>
      <w:r w:rsidRPr="000E79D6">
        <w:rPr>
          <w:rFonts w:ascii="Helvetica" w:eastAsia="宋体" w:hAnsi="Helvetica" w:cs="宋体"/>
          <w:color w:val="5F5F5F"/>
          <w:kern w:val="0"/>
          <w:sz w:val="20"/>
          <w:szCs w:val="20"/>
        </w:rPr>
        <w:t>支</w:t>
      </w:r>
      <w:r w:rsidRPr="000E79D6">
        <w:rPr>
          <w:rFonts w:ascii="Helvetica" w:eastAsia="宋体" w:hAnsi="Helvetica" w:cs="宋体"/>
          <w:color w:val="5F5F5F"/>
          <w:kern w:val="0"/>
          <w:sz w:val="20"/>
          <w:szCs w:val="20"/>
        </w:rPr>
        <w:t>)</w:t>
      </w:r>
      <w:r w:rsidRPr="000E79D6">
        <w:rPr>
          <w:rFonts w:ascii="Helvetica" w:eastAsia="宋体" w:hAnsi="Helvetica" w:cs="宋体"/>
          <w:color w:val="5F5F5F"/>
          <w:kern w:val="0"/>
          <w:sz w:val="20"/>
          <w:szCs w:val="20"/>
        </w:rPr>
        <w:t>，一日</w:t>
      </w:r>
      <w:r w:rsidRPr="000E79D6">
        <w:rPr>
          <w:rFonts w:ascii="Helvetica" w:eastAsia="宋体" w:hAnsi="Helvetica" w:cs="宋体"/>
          <w:color w:val="5F5F5F"/>
          <w:kern w:val="0"/>
          <w:sz w:val="20"/>
          <w:szCs w:val="20"/>
        </w:rPr>
        <w:t>2</w:t>
      </w:r>
      <w:r w:rsidRPr="000E79D6">
        <w:rPr>
          <w:rFonts w:ascii="Helvetica" w:eastAsia="宋体" w:hAnsi="Helvetica" w:cs="宋体"/>
          <w:color w:val="5F5F5F"/>
          <w:kern w:val="0"/>
          <w:sz w:val="20"/>
          <w:szCs w:val="20"/>
        </w:rPr>
        <w:t>次。静脉注射，一次</w:t>
      </w:r>
      <w:r w:rsidRPr="000E79D6">
        <w:rPr>
          <w:rFonts w:ascii="Helvetica" w:eastAsia="宋体" w:hAnsi="Helvetica" w:cs="宋体"/>
          <w:color w:val="5F5F5F"/>
          <w:kern w:val="0"/>
          <w:sz w:val="20"/>
          <w:szCs w:val="20"/>
        </w:rPr>
        <w:t>10</w:t>
      </w:r>
      <w:r w:rsidRPr="000E79D6">
        <w:rPr>
          <w:rFonts w:ascii="Helvetica" w:eastAsia="宋体" w:hAnsi="Helvetica" w:cs="宋体"/>
          <w:color w:val="5F5F5F"/>
          <w:kern w:val="0"/>
          <w:sz w:val="20"/>
          <w:szCs w:val="20"/>
        </w:rPr>
        <w:t>～</w:t>
      </w:r>
      <w:r w:rsidRPr="000E79D6">
        <w:rPr>
          <w:rFonts w:ascii="Helvetica" w:eastAsia="宋体" w:hAnsi="Helvetica" w:cs="宋体"/>
          <w:color w:val="5F5F5F"/>
          <w:kern w:val="0"/>
          <w:sz w:val="20"/>
          <w:szCs w:val="20"/>
        </w:rPr>
        <w:t>20ml(</w:t>
      </w:r>
      <w:r w:rsidRPr="000E79D6">
        <w:rPr>
          <w:rFonts w:ascii="Helvetica" w:eastAsia="宋体" w:hAnsi="Helvetica" w:cs="宋体"/>
          <w:color w:val="5F5F5F"/>
          <w:kern w:val="0"/>
          <w:sz w:val="20"/>
          <w:szCs w:val="20"/>
        </w:rPr>
        <w:t>一次</w:t>
      </w:r>
      <w:r w:rsidRPr="000E79D6">
        <w:rPr>
          <w:rFonts w:ascii="Helvetica" w:eastAsia="宋体" w:hAnsi="Helvetica" w:cs="宋体"/>
          <w:color w:val="5F5F5F"/>
          <w:kern w:val="0"/>
          <w:sz w:val="20"/>
          <w:szCs w:val="20"/>
        </w:rPr>
        <w:t>5-10</w:t>
      </w:r>
      <w:r w:rsidRPr="000E79D6">
        <w:rPr>
          <w:rFonts w:ascii="Helvetica" w:eastAsia="宋体" w:hAnsi="Helvetica" w:cs="宋体"/>
          <w:color w:val="5F5F5F"/>
          <w:kern w:val="0"/>
          <w:sz w:val="20"/>
          <w:szCs w:val="20"/>
        </w:rPr>
        <w:t>支</w:t>
      </w:r>
      <w:r w:rsidRPr="000E79D6">
        <w:rPr>
          <w:rFonts w:ascii="Helvetica" w:eastAsia="宋体" w:hAnsi="Helvetica" w:cs="宋体"/>
          <w:color w:val="5F5F5F"/>
          <w:kern w:val="0"/>
          <w:sz w:val="20"/>
          <w:szCs w:val="20"/>
        </w:rPr>
        <w:t>)</w:t>
      </w:r>
      <w:r w:rsidRPr="000E79D6">
        <w:rPr>
          <w:rFonts w:ascii="Helvetica" w:eastAsia="宋体" w:hAnsi="Helvetica" w:cs="宋体"/>
          <w:color w:val="5F5F5F"/>
          <w:kern w:val="0"/>
          <w:sz w:val="20"/>
          <w:szCs w:val="20"/>
        </w:rPr>
        <w:t>，用</w:t>
      </w:r>
      <w:r w:rsidRPr="000E79D6">
        <w:rPr>
          <w:rFonts w:ascii="Helvetica" w:eastAsia="宋体" w:hAnsi="Helvetica" w:cs="宋体"/>
          <w:color w:val="5F5F5F"/>
          <w:kern w:val="0"/>
          <w:sz w:val="20"/>
          <w:szCs w:val="20"/>
        </w:rPr>
        <w:t>5%</w:t>
      </w:r>
      <w:r w:rsidRPr="000E79D6">
        <w:rPr>
          <w:rFonts w:ascii="Helvetica" w:eastAsia="宋体" w:hAnsi="Helvetica" w:cs="宋体"/>
          <w:color w:val="5F5F5F"/>
          <w:kern w:val="0"/>
          <w:sz w:val="20"/>
          <w:szCs w:val="20"/>
        </w:rPr>
        <w:t>葡萄糖注射液</w:t>
      </w:r>
      <w:r w:rsidRPr="000E79D6">
        <w:rPr>
          <w:rFonts w:ascii="Helvetica" w:eastAsia="宋体" w:hAnsi="Helvetica" w:cs="宋体"/>
          <w:color w:val="5F5F5F"/>
          <w:kern w:val="0"/>
          <w:sz w:val="20"/>
          <w:szCs w:val="20"/>
        </w:rPr>
        <w:t>500ml</w:t>
      </w:r>
      <w:r w:rsidRPr="000E79D6">
        <w:rPr>
          <w:rFonts w:ascii="Helvetica" w:eastAsia="宋体" w:hAnsi="Helvetica" w:cs="宋体"/>
          <w:color w:val="5F5F5F"/>
          <w:kern w:val="0"/>
          <w:sz w:val="20"/>
          <w:szCs w:val="20"/>
        </w:rPr>
        <w:t>稀释后缓慢滴注，一日</w:t>
      </w:r>
      <w:r w:rsidRPr="000E79D6">
        <w:rPr>
          <w:rFonts w:ascii="Helvetica" w:eastAsia="宋体" w:hAnsi="Helvetica" w:cs="宋体"/>
          <w:color w:val="5F5F5F"/>
          <w:kern w:val="0"/>
          <w:sz w:val="20"/>
          <w:szCs w:val="20"/>
        </w:rPr>
        <w:t>1</w:t>
      </w:r>
      <w:r w:rsidRPr="000E79D6">
        <w:rPr>
          <w:rFonts w:ascii="Helvetica" w:eastAsia="宋体" w:hAnsi="Helvetica" w:cs="宋体"/>
          <w:color w:val="5F5F5F"/>
          <w:kern w:val="0"/>
          <w:sz w:val="20"/>
          <w:szCs w:val="20"/>
        </w:rPr>
        <w:t>次。抗感染，</w:t>
      </w:r>
      <w:r w:rsidRPr="000E79D6">
        <w:rPr>
          <w:rFonts w:ascii="Helvetica" w:eastAsia="宋体" w:hAnsi="Helvetica" w:cs="宋体"/>
          <w:color w:val="5F5F5F"/>
          <w:kern w:val="0"/>
          <w:sz w:val="20"/>
          <w:szCs w:val="20"/>
        </w:rPr>
        <w:t>7</w:t>
      </w:r>
      <w:r w:rsidRPr="000E79D6">
        <w:rPr>
          <w:rFonts w:ascii="Helvetica" w:eastAsia="宋体" w:hAnsi="Helvetica" w:cs="宋体"/>
          <w:color w:val="5F5F5F"/>
          <w:kern w:val="0"/>
          <w:sz w:val="20"/>
          <w:szCs w:val="20"/>
        </w:rPr>
        <w:t>天为一疗程：抗肿瘤，</w:t>
      </w:r>
      <w:r w:rsidRPr="000E79D6">
        <w:rPr>
          <w:rFonts w:ascii="Helvetica" w:eastAsia="宋体" w:hAnsi="Helvetica" w:cs="宋体"/>
          <w:color w:val="5F5F5F"/>
          <w:kern w:val="0"/>
          <w:sz w:val="20"/>
          <w:szCs w:val="20"/>
        </w:rPr>
        <w:t>30</w:t>
      </w:r>
      <w:r w:rsidRPr="000E79D6">
        <w:rPr>
          <w:rFonts w:ascii="Helvetica" w:eastAsia="宋体" w:hAnsi="Helvetica" w:cs="宋体"/>
          <w:color w:val="5F5F5F"/>
          <w:kern w:val="0"/>
          <w:sz w:val="20"/>
          <w:szCs w:val="20"/>
        </w:rPr>
        <w:t>天为一疗程，</w:t>
      </w:r>
      <w:r w:rsidRPr="000E79D6">
        <w:rPr>
          <w:rFonts w:ascii="Helvetica" w:eastAsia="宋体" w:hAnsi="Helvetica" w:cs="宋体"/>
          <w:color w:val="5F5F5F"/>
          <w:kern w:val="0"/>
          <w:sz w:val="20"/>
          <w:szCs w:val="20"/>
        </w:rPr>
        <w:t>...</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不良反应</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after="375"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静脉滴注的剂量一般为</w:t>
      </w:r>
      <w:r w:rsidRPr="000E79D6">
        <w:rPr>
          <w:rFonts w:ascii="Helvetica" w:eastAsia="宋体" w:hAnsi="Helvetica" w:cs="宋体"/>
          <w:color w:val="5F5F5F"/>
          <w:kern w:val="0"/>
          <w:sz w:val="20"/>
          <w:szCs w:val="20"/>
        </w:rPr>
        <w:t>10—20ml</w:t>
      </w:r>
      <w:r w:rsidRPr="000E79D6">
        <w:rPr>
          <w:rFonts w:ascii="Helvetica" w:eastAsia="宋体" w:hAnsi="Helvetica" w:cs="宋体"/>
          <w:color w:val="5F5F5F"/>
          <w:kern w:val="0"/>
          <w:sz w:val="20"/>
          <w:szCs w:val="20"/>
        </w:rPr>
        <w:t>，剂量过大或滴速过快时，输液部位有疼痛感，部分患者出现皮疹样反应。</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禁忌</w:t>
      </w:r>
      <w:r w:rsidRPr="000E79D6">
        <w:rPr>
          <w:rFonts w:ascii="Helvetica" w:eastAsia="宋体" w:hAnsi="Helvetica" w:cs="宋体"/>
          <w:b/>
          <w:bCs/>
          <w:color w:val="545454"/>
          <w:kern w:val="0"/>
          <w:sz w:val="21"/>
        </w:rPr>
        <w:t>:</w:t>
      </w:r>
    </w:p>
    <w:p w:rsidR="000E79D6" w:rsidRPr="000E79D6" w:rsidRDefault="000E79D6" w:rsidP="008572DE">
      <w:pPr>
        <w:widowControl/>
        <w:numPr>
          <w:ilvl w:val="0"/>
          <w:numId w:val="10"/>
        </w:numPr>
        <w:shd w:val="clear" w:color="auto" w:fill="FFFFFF"/>
        <w:spacing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对本品有过敏或严重不良反应病史者禁用。</w:t>
      </w:r>
    </w:p>
    <w:p w:rsidR="000E79D6" w:rsidRPr="000E79D6" w:rsidRDefault="000E79D6" w:rsidP="008572DE">
      <w:pPr>
        <w:widowControl/>
        <w:numPr>
          <w:ilvl w:val="0"/>
          <w:numId w:val="10"/>
        </w:numPr>
        <w:shd w:val="clear" w:color="auto" w:fill="FFFFFF"/>
        <w:spacing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孕妇及哺乳期妇女禁用。</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注意事项</w:t>
      </w:r>
      <w:r w:rsidRPr="000E79D6">
        <w:rPr>
          <w:rFonts w:ascii="Helvetica" w:eastAsia="宋体" w:hAnsi="Helvetica" w:cs="宋体"/>
          <w:b/>
          <w:bCs/>
          <w:color w:val="545454"/>
          <w:kern w:val="0"/>
          <w:sz w:val="21"/>
        </w:rPr>
        <w:t>:</w:t>
      </w:r>
    </w:p>
    <w:p w:rsidR="000E79D6" w:rsidRPr="000E79D6" w:rsidRDefault="000E79D6" w:rsidP="008572DE">
      <w:pPr>
        <w:widowControl/>
        <w:numPr>
          <w:ilvl w:val="0"/>
          <w:numId w:val="11"/>
        </w:numPr>
        <w:shd w:val="clear" w:color="auto" w:fill="FFFFFF"/>
        <w:spacing w:before="120" w:after="120"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老年、儿童者慎用。</w:t>
      </w:r>
    </w:p>
    <w:p w:rsidR="000E79D6" w:rsidRPr="000E79D6" w:rsidRDefault="000E79D6" w:rsidP="008572DE">
      <w:pPr>
        <w:widowControl/>
        <w:numPr>
          <w:ilvl w:val="0"/>
          <w:numId w:val="11"/>
        </w:numPr>
        <w:shd w:val="clear" w:color="auto" w:fill="FFFFFF"/>
        <w:spacing w:before="120" w:after="120"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心脏病者慎用。</w:t>
      </w:r>
    </w:p>
    <w:p w:rsidR="000E79D6" w:rsidRPr="000E79D6" w:rsidRDefault="000E79D6" w:rsidP="008572DE">
      <w:pPr>
        <w:widowControl/>
        <w:numPr>
          <w:ilvl w:val="0"/>
          <w:numId w:val="11"/>
        </w:numPr>
        <w:shd w:val="clear" w:color="auto" w:fill="FFFFFF"/>
        <w:spacing w:before="120" w:after="120"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过敏体质及有对其他药物过敏史者慎用。</w:t>
      </w:r>
    </w:p>
    <w:p w:rsidR="000E79D6" w:rsidRPr="000E79D6" w:rsidRDefault="000E79D6" w:rsidP="008572DE">
      <w:pPr>
        <w:widowControl/>
        <w:numPr>
          <w:ilvl w:val="0"/>
          <w:numId w:val="11"/>
        </w:numPr>
        <w:shd w:val="clear" w:color="auto" w:fill="FFFFFF"/>
        <w:spacing w:before="120" w:after="120" w:line="220" w:lineRule="exact"/>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使用本品时，应严密观察不良反应，必要时采取相应的控制及救治措施。</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药物相互作用</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after="375"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尚无本品与其他药物相互作用的信息。</w:t>
      </w:r>
    </w:p>
    <w:p w:rsidR="000E79D6" w:rsidRPr="000E79D6" w:rsidRDefault="000E79D6" w:rsidP="008572DE">
      <w:pPr>
        <w:widowControl/>
        <w:pBdr>
          <w:top w:val="single" w:sz="6" w:space="10" w:color="E3E3E3"/>
        </w:pBdr>
        <w:shd w:val="clear" w:color="auto" w:fill="FFFFFF"/>
        <w:spacing w:line="220" w:lineRule="exact"/>
        <w:jc w:val="left"/>
        <w:rPr>
          <w:rFonts w:ascii="Helvetica" w:eastAsia="宋体" w:hAnsi="Helvetica" w:cs="宋体"/>
          <w:b/>
          <w:bCs/>
          <w:color w:val="545454"/>
          <w:kern w:val="0"/>
          <w:sz w:val="21"/>
          <w:szCs w:val="21"/>
        </w:rPr>
      </w:pPr>
      <w:r w:rsidRPr="000E79D6">
        <w:rPr>
          <w:rFonts w:ascii="Helvetica" w:eastAsia="宋体" w:hAnsi="Helvetica" w:cs="宋体"/>
          <w:b/>
          <w:bCs/>
          <w:color w:val="545454"/>
          <w:kern w:val="0"/>
          <w:sz w:val="21"/>
        </w:rPr>
        <w:t>批准文号</w:t>
      </w:r>
      <w:r w:rsidRPr="000E79D6">
        <w:rPr>
          <w:rFonts w:ascii="Helvetica" w:eastAsia="宋体" w:hAnsi="Helvetica" w:cs="宋体"/>
          <w:b/>
          <w:bCs/>
          <w:color w:val="545454"/>
          <w:kern w:val="0"/>
          <w:sz w:val="21"/>
        </w:rPr>
        <w:t>:</w:t>
      </w:r>
    </w:p>
    <w:p w:rsidR="000E79D6" w:rsidRPr="000E79D6" w:rsidRDefault="000E79D6" w:rsidP="008572DE">
      <w:pPr>
        <w:widowControl/>
        <w:shd w:val="clear" w:color="auto" w:fill="FFFFFF"/>
        <w:spacing w:after="375" w:line="220" w:lineRule="exact"/>
        <w:ind w:left="720"/>
        <w:jc w:val="left"/>
        <w:rPr>
          <w:rFonts w:ascii="Helvetica" w:eastAsia="宋体" w:hAnsi="Helvetica" w:cs="宋体"/>
          <w:color w:val="5F5F5F"/>
          <w:kern w:val="0"/>
          <w:sz w:val="20"/>
          <w:szCs w:val="20"/>
        </w:rPr>
      </w:pPr>
      <w:r w:rsidRPr="000E79D6">
        <w:rPr>
          <w:rFonts w:ascii="Helvetica" w:eastAsia="宋体" w:hAnsi="Helvetica" w:cs="宋体"/>
          <w:color w:val="5F5F5F"/>
          <w:kern w:val="0"/>
          <w:sz w:val="20"/>
          <w:szCs w:val="20"/>
        </w:rPr>
        <w:t>国药准字</w:t>
      </w:r>
      <w:r w:rsidRPr="000E79D6">
        <w:rPr>
          <w:rFonts w:ascii="Helvetica" w:eastAsia="宋体" w:hAnsi="Helvetica" w:cs="宋体"/>
          <w:color w:val="5F5F5F"/>
          <w:kern w:val="0"/>
          <w:sz w:val="20"/>
          <w:szCs w:val="20"/>
        </w:rPr>
        <w:t xml:space="preserve"> Z34020604</w:t>
      </w:r>
    </w:p>
    <w:p w:rsidR="00D86A9A" w:rsidRPr="000E79D6" w:rsidRDefault="00D86A9A" w:rsidP="00513E8B">
      <w:pPr>
        <w:spacing w:line="420" w:lineRule="exact"/>
        <w:contextualSpacing/>
        <w:jc w:val="left"/>
        <w:textAlignment w:val="center"/>
        <w:rPr>
          <w:rFonts w:ascii="Helvetica" w:eastAsia="宋体" w:hAnsi="Helvetica" w:cs="宋体"/>
          <w:color w:val="5F5F5F"/>
          <w:kern w:val="0"/>
          <w:sz w:val="28"/>
          <w:szCs w:val="28"/>
        </w:rPr>
      </w:pPr>
    </w:p>
    <w:sectPr w:rsidR="00D86A9A" w:rsidRPr="000E79D6" w:rsidSect="00800C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9DF" w:rsidRDefault="00BC19DF" w:rsidP="00BF48DF">
      <w:r>
        <w:separator/>
      </w:r>
    </w:p>
  </w:endnote>
  <w:endnote w:type="continuationSeparator" w:id="0">
    <w:p w:rsidR="00BC19DF" w:rsidRDefault="00BC19DF" w:rsidP="00BF4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9DF" w:rsidRDefault="00BC19DF" w:rsidP="00BF48DF">
      <w:r>
        <w:separator/>
      </w:r>
    </w:p>
  </w:footnote>
  <w:footnote w:type="continuationSeparator" w:id="0">
    <w:p w:rsidR="00BC19DF" w:rsidRDefault="00BC19DF" w:rsidP="00BF4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D6" w:rsidRDefault="000E79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FEA"/>
    <w:multiLevelType w:val="multilevel"/>
    <w:tmpl w:val="4D9E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27FB2"/>
    <w:multiLevelType w:val="multilevel"/>
    <w:tmpl w:val="3DB4A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B47EE"/>
    <w:multiLevelType w:val="multilevel"/>
    <w:tmpl w:val="6EF04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C50BA"/>
    <w:multiLevelType w:val="multilevel"/>
    <w:tmpl w:val="56B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557C4"/>
    <w:multiLevelType w:val="multilevel"/>
    <w:tmpl w:val="9BC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B714EE"/>
    <w:multiLevelType w:val="multilevel"/>
    <w:tmpl w:val="3EA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3E4E01"/>
    <w:multiLevelType w:val="multilevel"/>
    <w:tmpl w:val="903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5C32EC"/>
    <w:multiLevelType w:val="multilevel"/>
    <w:tmpl w:val="AD8A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B5EFC"/>
    <w:multiLevelType w:val="multilevel"/>
    <w:tmpl w:val="69E4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7AE64E"/>
    <w:multiLevelType w:val="singleLevel"/>
    <w:tmpl w:val="597AE64E"/>
    <w:lvl w:ilvl="0">
      <w:start w:val="2"/>
      <w:numFmt w:val="chineseCounting"/>
      <w:suff w:val="nothing"/>
      <w:lvlText w:val="（%1）"/>
      <w:lvlJc w:val="left"/>
    </w:lvl>
  </w:abstractNum>
  <w:abstractNum w:abstractNumId="10">
    <w:nsid w:val="788A293B"/>
    <w:multiLevelType w:val="multilevel"/>
    <w:tmpl w:val="CAE4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
  </w:num>
  <w:num w:numId="4">
    <w:abstractNumId w:val="9"/>
  </w:num>
  <w:num w:numId="5">
    <w:abstractNumId w:val="0"/>
  </w:num>
  <w:num w:numId="6">
    <w:abstractNumId w:val="5"/>
  </w:num>
  <w:num w:numId="7">
    <w:abstractNumId w:val="1"/>
  </w:num>
  <w:num w:numId="8">
    <w:abstractNumId w:val="7"/>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8DF"/>
    <w:rsid w:val="000E79D6"/>
    <w:rsid w:val="0014055E"/>
    <w:rsid w:val="00185404"/>
    <w:rsid w:val="00194E0C"/>
    <w:rsid w:val="0022448F"/>
    <w:rsid w:val="00244760"/>
    <w:rsid w:val="00260B4A"/>
    <w:rsid w:val="002D3A84"/>
    <w:rsid w:val="003E3C57"/>
    <w:rsid w:val="00492783"/>
    <w:rsid w:val="00513E8B"/>
    <w:rsid w:val="0060501F"/>
    <w:rsid w:val="006759D8"/>
    <w:rsid w:val="00800C91"/>
    <w:rsid w:val="008572DE"/>
    <w:rsid w:val="0091681C"/>
    <w:rsid w:val="0093182C"/>
    <w:rsid w:val="00A35202"/>
    <w:rsid w:val="00A623A1"/>
    <w:rsid w:val="00BC19DF"/>
    <w:rsid w:val="00BF48DF"/>
    <w:rsid w:val="00C1544A"/>
    <w:rsid w:val="00D061A7"/>
    <w:rsid w:val="00D30D29"/>
    <w:rsid w:val="00D86A9A"/>
    <w:rsid w:val="00DD3AE9"/>
    <w:rsid w:val="00F85588"/>
    <w:rsid w:val="00FB7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DF"/>
    <w:pPr>
      <w:widowControl w:val="0"/>
      <w:jc w:val="both"/>
    </w:pPr>
    <w:rPr>
      <w:rFonts w:ascii="Calibri" w:eastAsia="仿宋_GB2312" w:hAnsi="Calibri" w:cs="Times New Roman"/>
      <w:sz w:val="32"/>
      <w:szCs w:val="24"/>
    </w:rPr>
  </w:style>
  <w:style w:type="paragraph" w:styleId="1">
    <w:name w:val="heading 1"/>
    <w:basedOn w:val="a"/>
    <w:next w:val="a"/>
    <w:link w:val="1Char"/>
    <w:uiPriority w:val="9"/>
    <w:qFormat/>
    <w:rsid w:val="0014055E"/>
    <w:pPr>
      <w:keepNext/>
      <w:keepLines/>
      <w:spacing w:before="340" w:after="330" w:line="576" w:lineRule="auto"/>
      <w:ind w:firstLineChars="200" w:firstLine="480"/>
      <w:jc w:val="center"/>
      <w:outlineLvl w:val="0"/>
    </w:pPr>
    <w:rPr>
      <w:rFonts w:ascii="Times New Roman" w:eastAsia="宋体" w:hAnsi="Times New Roman"/>
      <w:b/>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8DF"/>
    <w:rPr>
      <w:sz w:val="18"/>
      <w:szCs w:val="18"/>
    </w:rPr>
  </w:style>
  <w:style w:type="paragraph" w:styleId="a4">
    <w:name w:val="footer"/>
    <w:basedOn w:val="a"/>
    <w:link w:val="Char0"/>
    <w:uiPriority w:val="99"/>
    <w:semiHidden/>
    <w:unhideWhenUsed/>
    <w:rsid w:val="00BF48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8DF"/>
    <w:rPr>
      <w:sz w:val="18"/>
      <w:szCs w:val="18"/>
    </w:rPr>
  </w:style>
  <w:style w:type="paragraph" w:styleId="a5">
    <w:name w:val="Normal (Web)"/>
    <w:basedOn w:val="a"/>
    <w:uiPriority w:val="99"/>
    <w:qFormat/>
    <w:rsid w:val="00BF48DF"/>
    <w:pPr>
      <w:spacing w:before="100" w:beforeAutospacing="1" w:after="100" w:afterAutospacing="1"/>
      <w:jc w:val="left"/>
    </w:pPr>
    <w:rPr>
      <w:rFonts w:ascii="宋体" w:hAnsi="宋体"/>
      <w:kern w:val="0"/>
      <w:sz w:val="24"/>
    </w:rPr>
  </w:style>
  <w:style w:type="character" w:styleId="a6">
    <w:name w:val="Hyperlink"/>
    <w:basedOn w:val="a0"/>
    <w:uiPriority w:val="99"/>
    <w:unhideWhenUsed/>
    <w:qFormat/>
    <w:rsid w:val="00BF48DF"/>
    <w:rPr>
      <w:color w:val="3A3A3A"/>
      <w:u w:val="none"/>
    </w:rPr>
  </w:style>
  <w:style w:type="paragraph" w:styleId="a7">
    <w:name w:val="Balloon Text"/>
    <w:basedOn w:val="a"/>
    <w:link w:val="Char1"/>
    <w:uiPriority w:val="99"/>
    <w:semiHidden/>
    <w:unhideWhenUsed/>
    <w:rsid w:val="00BF48DF"/>
    <w:rPr>
      <w:sz w:val="18"/>
      <w:szCs w:val="18"/>
    </w:rPr>
  </w:style>
  <w:style w:type="character" w:customStyle="1" w:styleId="Char1">
    <w:name w:val="批注框文本 Char"/>
    <w:basedOn w:val="a0"/>
    <w:link w:val="a7"/>
    <w:uiPriority w:val="99"/>
    <w:semiHidden/>
    <w:rsid w:val="00BF48DF"/>
    <w:rPr>
      <w:rFonts w:ascii="Calibri" w:eastAsia="仿宋_GB2312" w:hAnsi="Calibri" w:cs="Times New Roman"/>
      <w:sz w:val="18"/>
      <w:szCs w:val="18"/>
    </w:rPr>
  </w:style>
  <w:style w:type="character" w:customStyle="1" w:styleId="1Char">
    <w:name w:val="标题 1 Char"/>
    <w:basedOn w:val="a0"/>
    <w:link w:val="1"/>
    <w:uiPriority w:val="9"/>
    <w:qFormat/>
    <w:rsid w:val="0014055E"/>
    <w:rPr>
      <w:rFonts w:ascii="Times New Roman" w:eastAsia="宋体" w:hAnsi="Times New Roman" w:cs="Times New Roman"/>
      <w:b/>
      <w:kern w:val="44"/>
      <w:sz w:val="24"/>
      <w:szCs w:val="24"/>
    </w:rPr>
  </w:style>
  <w:style w:type="character" w:customStyle="1" w:styleId="fl">
    <w:name w:val="fl"/>
    <w:basedOn w:val="a0"/>
    <w:rsid w:val="00185404"/>
  </w:style>
  <w:style w:type="character" w:styleId="a8">
    <w:name w:val="Strong"/>
    <w:basedOn w:val="a0"/>
    <w:uiPriority w:val="22"/>
    <w:qFormat/>
    <w:rsid w:val="00185404"/>
    <w:rPr>
      <w:b/>
      <w:bCs/>
    </w:rPr>
  </w:style>
  <w:style w:type="paragraph" w:styleId="a9">
    <w:name w:val="List Paragraph"/>
    <w:basedOn w:val="a"/>
    <w:uiPriority w:val="34"/>
    <w:qFormat/>
    <w:rsid w:val="0093182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9710544">
      <w:bodyDiv w:val="1"/>
      <w:marLeft w:val="0"/>
      <w:marRight w:val="0"/>
      <w:marTop w:val="0"/>
      <w:marBottom w:val="0"/>
      <w:divBdr>
        <w:top w:val="none" w:sz="0" w:space="0" w:color="auto"/>
        <w:left w:val="none" w:sz="0" w:space="0" w:color="auto"/>
        <w:bottom w:val="none" w:sz="0" w:space="0" w:color="auto"/>
        <w:right w:val="none" w:sz="0" w:space="0" w:color="auto"/>
      </w:divBdr>
    </w:div>
    <w:div w:id="600067163">
      <w:bodyDiv w:val="1"/>
      <w:marLeft w:val="0"/>
      <w:marRight w:val="0"/>
      <w:marTop w:val="0"/>
      <w:marBottom w:val="0"/>
      <w:divBdr>
        <w:top w:val="none" w:sz="0" w:space="0" w:color="auto"/>
        <w:left w:val="none" w:sz="0" w:space="0" w:color="auto"/>
        <w:bottom w:val="none" w:sz="0" w:space="0" w:color="auto"/>
        <w:right w:val="none" w:sz="0" w:space="0" w:color="auto"/>
      </w:divBdr>
    </w:div>
    <w:div w:id="632711241">
      <w:bodyDiv w:val="1"/>
      <w:marLeft w:val="0"/>
      <w:marRight w:val="0"/>
      <w:marTop w:val="0"/>
      <w:marBottom w:val="0"/>
      <w:divBdr>
        <w:top w:val="none" w:sz="0" w:space="0" w:color="auto"/>
        <w:left w:val="none" w:sz="0" w:space="0" w:color="auto"/>
        <w:bottom w:val="none" w:sz="0" w:space="0" w:color="auto"/>
        <w:right w:val="none" w:sz="0" w:space="0" w:color="auto"/>
      </w:divBdr>
    </w:div>
    <w:div w:id="682702287">
      <w:bodyDiv w:val="1"/>
      <w:marLeft w:val="0"/>
      <w:marRight w:val="0"/>
      <w:marTop w:val="0"/>
      <w:marBottom w:val="0"/>
      <w:divBdr>
        <w:top w:val="none" w:sz="0" w:space="0" w:color="auto"/>
        <w:left w:val="none" w:sz="0" w:space="0" w:color="auto"/>
        <w:bottom w:val="none" w:sz="0" w:space="0" w:color="auto"/>
        <w:right w:val="none" w:sz="0" w:space="0" w:color="auto"/>
      </w:divBdr>
    </w:div>
    <w:div w:id="764959730">
      <w:bodyDiv w:val="1"/>
      <w:marLeft w:val="0"/>
      <w:marRight w:val="0"/>
      <w:marTop w:val="0"/>
      <w:marBottom w:val="0"/>
      <w:divBdr>
        <w:top w:val="none" w:sz="0" w:space="0" w:color="auto"/>
        <w:left w:val="none" w:sz="0" w:space="0" w:color="auto"/>
        <w:bottom w:val="none" w:sz="0" w:space="0" w:color="auto"/>
        <w:right w:val="none" w:sz="0" w:space="0" w:color="auto"/>
      </w:divBdr>
    </w:div>
    <w:div w:id="798958514">
      <w:bodyDiv w:val="1"/>
      <w:marLeft w:val="0"/>
      <w:marRight w:val="0"/>
      <w:marTop w:val="0"/>
      <w:marBottom w:val="0"/>
      <w:divBdr>
        <w:top w:val="none" w:sz="0" w:space="0" w:color="auto"/>
        <w:left w:val="none" w:sz="0" w:space="0" w:color="auto"/>
        <w:bottom w:val="none" w:sz="0" w:space="0" w:color="auto"/>
        <w:right w:val="none" w:sz="0" w:space="0" w:color="auto"/>
      </w:divBdr>
    </w:div>
    <w:div w:id="1232472358">
      <w:bodyDiv w:val="1"/>
      <w:marLeft w:val="0"/>
      <w:marRight w:val="0"/>
      <w:marTop w:val="0"/>
      <w:marBottom w:val="0"/>
      <w:divBdr>
        <w:top w:val="none" w:sz="0" w:space="0" w:color="auto"/>
        <w:left w:val="none" w:sz="0" w:space="0" w:color="auto"/>
        <w:bottom w:val="none" w:sz="0" w:space="0" w:color="auto"/>
        <w:right w:val="none" w:sz="0" w:space="0" w:color="auto"/>
      </w:divBdr>
    </w:div>
    <w:div w:id="1260289971">
      <w:bodyDiv w:val="1"/>
      <w:marLeft w:val="0"/>
      <w:marRight w:val="0"/>
      <w:marTop w:val="0"/>
      <w:marBottom w:val="0"/>
      <w:divBdr>
        <w:top w:val="none" w:sz="0" w:space="0" w:color="auto"/>
        <w:left w:val="none" w:sz="0" w:space="0" w:color="auto"/>
        <w:bottom w:val="none" w:sz="0" w:space="0" w:color="auto"/>
        <w:right w:val="none" w:sz="0" w:space="0" w:color="auto"/>
      </w:divBdr>
    </w:div>
    <w:div w:id="1646668124">
      <w:bodyDiv w:val="1"/>
      <w:marLeft w:val="0"/>
      <w:marRight w:val="0"/>
      <w:marTop w:val="0"/>
      <w:marBottom w:val="0"/>
      <w:divBdr>
        <w:top w:val="none" w:sz="0" w:space="0" w:color="auto"/>
        <w:left w:val="none" w:sz="0" w:space="0" w:color="auto"/>
        <w:bottom w:val="none" w:sz="0" w:space="0" w:color="auto"/>
        <w:right w:val="none" w:sz="0" w:space="0" w:color="auto"/>
      </w:divBdr>
    </w:div>
    <w:div w:id="20481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7</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2019-04-27T01:15:00Z</cp:lastPrinted>
  <dcterms:created xsi:type="dcterms:W3CDTF">2019-04-24T05:06:00Z</dcterms:created>
  <dcterms:modified xsi:type="dcterms:W3CDTF">2020-04-24T05:02:00Z</dcterms:modified>
</cp:coreProperties>
</file>