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DF" w:rsidRDefault="00BF48DF" w:rsidP="00BF48DF">
      <w:pPr>
        <w:spacing w:line="480" w:lineRule="exact"/>
        <w:ind w:right="700"/>
        <w:contextualSpacing/>
        <w:textAlignment w:val="center"/>
        <w:rPr>
          <w:rFonts w:ascii="Times New Roman" w:eastAsia="方正小标宋简体" w:hAnsi="Times New Roman"/>
          <w:szCs w:val="32"/>
        </w:rPr>
      </w:pPr>
    </w:p>
    <w:p w:rsidR="00BF48DF" w:rsidRDefault="00BF48DF" w:rsidP="00BF48DF">
      <w:pPr>
        <w:spacing w:line="820" w:lineRule="exact"/>
        <w:ind w:firstLineChars="100" w:firstLine="1200"/>
        <w:rPr>
          <w:rFonts w:ascii="Times New Roman" w:eastAsia="宋体" w:hAnsi="Times New Roman"/>
          <w:bCs/>
          <w:spacing w:val="100"/>
          <w:sz w:val="100"/>
        </w:rPr>
      </w:pPr>
    </w:p>
    <w:p w:rsidR="00BF48DF" w:rsidRDefault="00BF48DF" w:rsidP="00BF48DF">
      <w:pPr>
        <w:spacing w:line="820" w:lineRule="exact"/>
        <w:ind w:firstLineChars="100" w:firstLine="1200"/>
        <w:rPr>
          <w:rFonts w:ascii="Times New Roman" w:eastAsia="宋体" w:hAnsi="Times New Roman"/>
          <w:bCs/>
          <w:spacing w:val="100"/>
          <w:sz w:val="100"/>
        </w:rPr>
      </w:pPr>
    </w:p>
    <w:p w:rsidR="00BF48DF" w:rsidRDefault="00BF48DF" w:rsidP="00BF48DF">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BF48DF" w:rsidRDefault="00BF48DF" w:rsidP="00BF48DF">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BF48DF" w:rsidRDefault="00BF48DF" w:rsidP="00BF48DF">
      <w:pPr>
        <w:tabs>
          <w:tab w:val="left" w:pos="4875"/>
        </w:tabs>
        <w:spacing w:line="360" w:lineRule="exact"/>
        <w:jc w:val="center"/>
        <w:rPr>
          <w:rFonts w:ascii="Times New Roman" w:hAnsi="Times New Roman"/>
        </w:rPr>
      </w:pPr>
    </w:p>
    <w:p w:rsidR="00BF48DF" w:rsidRDefault="00BF48DF" w:rsidP="00BF48DF">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 xml:space="preserve">  </w:t>
      </w:r>
      <w:r>
        <w:rPr>
          <w:rFonts w:ascii="Times New Roman" w:eastAsia="宋体" w:hAnsi="Times New Roman" w:hint="eastAsia"/>
          <w:spacing w:val="-8"/>
          <w:szCs w:val="32"/>
        </w:rPr>
        <w:t>主办：临床药学</w:t>
      </w:r>
      <w:r w:rsidR="00C1544A">
        <w:rPr>
          <w:rFonts w:ascii="Times New Roman" w:eastAsia="宋体" w:hAnsi="Times New Roman" w:hint="eastAsia"/>
          <w:spacing w:val="-8"/>
          <w:szCs w:val="32"/>
        </w:rPr>
        <w:t>室</w:t>
      </w:r>
    </w:p>
    <w:p w:rsidR="00BF48DF" w:rsidRDefault="00BF48DF" w:rsidP="00BF48DF">
      <w:pPr>
        <w:tabs>
          <w:tab w:val="left" w:pos="4875"/>
        </w:tabs>
        <w:spacing w:line="360" w:lineRule="exact"/>
        <w:jc w:val="center"/>
        <w:rPr>
          <w:rFonts w:ascii="Times New Roman" w:eastAsia="黑体" w:hAnsi="Times New Roman"/>
          <w:sz w:val="26"/>
          <w:szCs w:val="26"/>
        </w:rPr>
      </w:pPr>
    </w:p>
    <w:p w:rsidR="00BF48DF" w:rsidRDefault="00BF48DF" w:rsidP="00BF48DF">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12</w:t>
      </w:r>
      <w:r w:rsidR="00512442">
        <w:rPr>
          <w:rFonts w:ascii="Times New Roman" w:eastAsia="宋体" w:hAnsi="Times New Roman" w:hint="eastAsia"/>
          <w:sz w:val="28"/>
          <w:szCs w:val="28"/>
        </w:rPr>
        <w:t>5</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2017</w:t>
      </w:r>
      <w:r>
        <w:rPr>
          <w:rFonts w:ascii="Times New Roman" w:eastAsia="宋体" w:hAnsi="Times New Roman" w:hint="eastAsia"/>
          <w:sz w:val="28"/>
          <w:szCs w:val="28"/>
        </w:rPr>
        <w:t>年第</w:t>
      </w:r>
      <w:r>
        <w:rPr>
          <w:rFonts w:ascii="Times New Roman" w:eastAsia="宋体" w:hAnsi="Times New Roman" w:hint="eastAsia"/>
          <w:sz w:val="28"/>
          <w:szCs w:val="28"/>
        </w:rPr>
        <w:t>3</w:t>
      </w:r>
      <w:r>
        <w:rPr>
          <w:rFonts w:ascii="Times New Roman" w:eastAsia="宋体" w:hAnsi="Times New Roman" w:hint="eastAsia"/>
          <w:sz w:val="28"/>
          <w:szCs w:val="28"/>
        </w:rPr>
        <w:t>期</w:t>
      </w: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Pr="004F2DC6" w:rsidRDefault="00BF48DF" w:rsidP="00BF48DF">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BF48DF" w:rsidRDefault="00BF48DF" w:rsidP="00BF48DF">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Pr>
          <w:rFonts w:ascii="Times New Roman" w:eastAsia="宋体" w:hAnsi="Times New Roman" w:hint="eastAsia"/>
          <w:b/>
          <w:spacing w:val="60"/>
          <w:sz w:val="36"/>
          <w:szCs w:val="36"/>
        </w:rPr>
        <w:t>一七年九月</w:t>
      </w:r>
    </w:p>
    <w:p w:rsidR="00BF48DF" w:rsidRDefault="00BF48DF" w:rsidP="00BF48DF">
      <w:pPr>
        <w:tabs>
          <w:tab w:val="left" w:pos="4875"/>
        </w:tabs>
        <w:jc w:val="center"/>
        <w:rPr>
          <w:rFonts w:ascii="Times New Roman" w:hAnsi="Times New Roman"/>
          <w:sz w:val="2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8960"/>
          <w:tab w:val="left" w:pos="9280"/>
        </w:tabs>
        <w:spacing w:line="460" w:lineRule="exact"/>
        <w:rPr>
          <w:rFonts w:ascii="Times New Roman" w:eastAsia="Times New Roman" w:hAnsi="Times New Roman"/>
          <w:sz w:val="40"/>
          <w:szCs w:val="44"/>
        </w:rPr>
        <w:sectPr w:rsidR="00BF48DF">
          <w:headerReference w:type="default" r:id="rId7"/>
          <w:pgSz w:w="11906" w:h="16838"/>
          <w:pgMar w:top="1985" w:right="1191" w:bottom="1134" w:left="1644" w:header="851" w:footer="1151" w:gutter="0"/>
          <w:pgNumType w:start="1"/>
          <w:cols w:space="720"/>
          <w:docGrid w:type="linesAndChars" w:linePitch="623"/>
        </w:sectPr>
      </w:pPr>
    </w:p>
    <w:p w:rsidR="00BF48DF" w:rsidRDefault="00BF48DF" w:rsidP="00BF48DF">
      <w:pPr>
        <w:tabs>
          <w:tab w:val="left" w:pos="8960"/>
          <w:tab w:val="left" w:pos="9280"/>
        </w:tabs>
        <w:spacing w:line="460" w:lineRule="exact"/>
        <w:rPr>
          <w:rFonts w:ascii="Times New Roman" w:eastAsia="Times New Roman" w:hAnsi="Times New Roman"/>
          <w:sz w:val="40"/>
          <w:szCs w:val="44"/>
        </w:rPr>
      </w:pPr>
    </w:p>
    <w:p w:rsidR="00BF48DF" w:rsidRDefault="00BF48DF" w:rsidP="00BF48DF">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BF48DF" w:rsidRDefault="00BF48DF" w:rsidP="00BF48DF">
      <w:pPr>
        <w:tabs>
          <w:tab w:val="left" w:pos="8960"/>
        </w:tabs>
        <w:spacing w:line="620" w:lineRule="exact"/>
        <w:rPr>
          <w:rFonts w:ascii="Times New Roman" w:hAnsi="Times New Roman"/>
          <w:sz w:val="28"/>
          <w:szCs w:val="28"/>
        </w:rPr>
      </w:pPr>
    </w:p>
    <w:p w:rsidR="0014055E" w:rsidRDefault="00BF48DF" w:rsidP="0014055E">
      <w:pPr>
        <w:tabs>
          <w:tab w:val="left" w:pos="8960"/>
        </w:tabs>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药事</w:t>
      </w:r>
      <w:r w:rsidR="0014055E">
        <w:rPr>
          <w:rFonts w:ascii="宋体" w:eastAsia="宋体" w:hAnsi="宋体" w:cs="宋体" w:hint="eastAsia"/>
          <w:sz w:val="28"/>
          <w:szCs w:val="28"/>
        </w:rPr>
        <w:t>警戒</w:t>
      </w:r>
      <w:r>
        <w:rPr>
          <w:rFonts w:ascii="Times New Roman" w:hAnsi="Times New Roman" w:hint="eastAsia"/>
          <w:sz w:val="28"/>
          <w:szCs w:val="28"/>
        </w:rPr>
        <w:t>】</w:t>
      </w:r>
    </w:p>
    <w:p w:rsidR="0014055E" w:rsidRPr="00C1544A" w:rsidRDefault="0014055E" w:rsidP="0014055E">
      <w:pPr>
        <w:tabs>
          <w:tab w:val="left" w:pos="8960"/>
        </w:tabs>
        <w:spacing w:line="620" w:lineRule="exact"/>
        <w:rPr>
          <w:rFonts w:ascii="宋体" w:eastAsia="宋体" w:hAnsi="宋体" w:cs="宋体"/>
          <w:sz w:val="28"/>
          <w:szCs w:val="28"/>
        </w:rPr>
      </w:pPr>
      <w:r w:rsidRPr="00C1544A">
        <w:rPr>
          <w:rFonts w:ascii="宋体" w:eastAsia="宋体" w:hAnsi="宋体" w:cs="宋体" w:hint="eastAsia"/>
          <w:sz w:val="28"/>
          <w:szCs w:val="28"/>
        </w:rPr>
        <w:t>欧盟暂停对羟乙基淀粉溶液的决策程序</w:t>
      </w:r>
    </w:p>
    <w:p w:rsidR="00BF48DF" w:rsidRPr="00C1544A" w:rsidRDefault="00BF48DF" w:rsidP="00BF48DF">
      <w:pPr>
        <w:widowControl/>
        <w:spacing w:line="620" w:lineRule="exact"/>
        <w:rPr>
          <w:rFonts w:ascii="宋体" w:eastAsia="宋体" w:hAnsi="宋体" w:cs="宋体"/>
          <w:sz w:val="28"/>
          <w:szCs w:val="28"/>
        </w:rPr>
      </w:pPr>
      <w:r w:rsidRPr="00C1544A">
        <w:rPr>
          <w:rFonts w:ascii="宋体" w:eastAsia="宋体" w:hAnsi="宋体" w:cs="宋体" w:hint="eastAsia"/>
          <w:sz w:val="28"/>
          <w:szCs w:val="28"/>
        </w:rPr>
        <w:t>【</w:t>
      </w:r>
      <w:r>
        <w:rPr>
          <w:rFonts w:ascii="宋体" w:eastAsia="宋体" w:hAnsi="宋体" w:cs="宋体" w:hint="eastAsia"/>
          <w:sz w:val="28"/>
          <w:szCs w:val="28"/>
        </w:rPr>
        <w:t>合理用药</w:t>
      </w:r>
      <w:r w:rsidRPr="00C1544A">
        <w:rPr>
          <w:rFonts w:ascii="宋体" w:eastAsia="宋体" w:hAnsi="宋体" w:cs="宋体" w:hint="eastAsia"/>
          <w:sz w:val="28"/>
          <w:szCs w:val="28"/>
        </w:rPr>
        <w:t>】</w:t>
      </w:r>
    </w:p>
    <w:p w:rsidR="0014055E" w:rsidRPr="00C1544A" w:rsidRDefault="0014055E" w:rsidP="00BF48DF">
      <w:pPr>
        <w:widowControl/>
        <w:spacing w:line="620" w:lineRule="exact"/>
        <w:rPr>
          <w:rFonts w:ascii="宋体" w:eastAsia="宋体" w:hAnsi="宋体" w:cs="宋体"/>
          <w:sz w:val="28"/>
          <w:szCs w:val="28"/>
        </w:rPr>
      </w:pPr>
      <w:r w:rsidRPr="00C1544A">
        <w:rPr>
          <w:rFonts w:ascii="宋体" w:eastAsia="宋体" w:hAnsi="宋体" w:cs="宋体" w:hint="eastAsia"/>
          <w:sz w:val="28"/>
          <w:szCs w:val="28"/>
        </w:rPr>
        <w:t>儿童补钙药谨慎</w:t>
      </w:r>
    </w:p>
    <w:p w:rsidR="00BF48DF" w:rsidRPr="00C1544A" w:rsidRDefault="00BF48DF" w:rsidP="00BF48DF">
      <w:pPr>
        <w:spacing w:line="620" w:lineRule="exact"/>
        <w:rPr>
          <w:rFonts w:ascii="宋体" w:eastAsia="宋体" w:hAnsi="宋体" w:cs="宋体"/>
          <w:sz w:val="28"/>
          <w:szCs w:val="28"/>
        </w:rPr>
      </w:pPr>
      <w:r w:rsidRPr="00C1544A">
        <w:rPr>
          <w:rFonts w:ascii="宋体" w:eastAsia="宋体" w:hAnsi="宋体" w:cs="宋体" w:hint="eastAsia"/>
          <w:sz w:val="28"/>
          <w:szCs w:val="28"/>
        </w:rPr>
        <w:t>【</w:t>
      </w:r>
      <w:r>
        <w:rPr>
          <w:rFonts w:ascii="宋体" w:eastAsia="宋体" w:hAnsi="宋体" w:cs="宋体" w:hint="eastAsia"/>
          <w:sz w:val="28"/>
          <w:szCs w:val="28"/>
        </w:rPr>
        <w:t>指南共识</w:t>
      </w:r>
      <w:r w:rsidRPr="00C1544A">
        <w:rPr>
          <w:rFonts w:ascii="宋体" w:eastAsia="宋体" w:hAnsi="宋体" w:cs="宋体" w:hint="eastAsia"/>
          <w:sz w:val="28"/>
          <w:szCs w:val="28"/>
        </w:rPr>
        <w:t>】</w:t>
      </w:r>
    </w:p>
    <w:p w:rsidR="0014055E" w:rsidRPr="00C1544A" w:rsidRDefault="0014055E" w:rsidP="0014055E">
      <w:pPr>
        <w:spacing w:line="480" w:lineRule="exact"/>
        <w:ind w:right="700"/>
        <w:contextualSpacing/>
        <w:textAlignment w:val="center"/>
        <w:rPr>
          <w:rFonts w:ascii="宋体" w:eastAsia="宋体" w:hAnsi="宋体" w:cs="宋体"/>
          <w:sz w:val="28"/>
          <w:szCs w:val="28"/>
        </w:rPr>
      </w:pPr>
      <w:r w:rsidRPr="00C1544A">
        <w:rPr>
          <w:rFonts w:ascii="宋体" w:eastAsia="宋体" w:hAnsi="宋体" w:cs="宋体" w:hint="eastAsia"/>
          <w:sz w:val="28"/>
          <w:szCs w:val="28"/>
        </w:rPr>
        <w:t>成人慢性气道疾病雾化吸入治疗专家共识【2012年版】</w:t>
      </w:r>
    </w:p>
    <w:p w:rsidR="00BF48DF" w:rsidRDefault="00BF48DF" w:rsidP="00BF48DF">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药物不良反应】</w:t>
      </w:r>
    </w:p>
    <w:p w:rsidR="0014055E" w:rsidRDefault="0014055E" w:rsidP="00BF48DF">
      <w:pPr>
        <w:spacing w:line="620" w:lineRule="exact"/>
        <w:rPr>
          <w:rFonts w:ascii="宋体" w:eastAsia="宋体" w:hAnsi="宋体" w:cs="宋体"/>
          <w:sz w:val="28"/>
          <w:szCs w:val="28"/>
        </w:rPr>
      </w:pPr>
      <w:r w:rsidRPr="0014055E">
        <w:rPr>
          <w:rFonts w:ascii="宋体" w:eastAsia="宋体" w:hAnsi="宋体" w:cs="宋体" w:hint="eastAsia"/>
          <w:sz w:val="28"/>
          <w:szCs w:val="28"/>
        </w:rPr>
        <w:t>不良反应通报信息</w:t>
      </w:r>
    </w:p>
    <w:p w:rsidR="00BF48DF" w:rsidRDefault="00BF48DF" w:rsidP="00BF48DF">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14055E" w:rsidRPr="00194E0C" w:rsidRDefault="00194E0C" w:rsidP="00BF48DF">
      <w:pPr>
        <w:spacing w:line="560" w:lineRule="exact"/>
        <w:contextualSpacing/>
        <w:jc w:val="left"/>
        <w:textAlignment w:val="center"/>
        <w:rPr>
          <w:rFonts w:ascii="宋体" w:eastAsia="宋体" w:hAnsi="宋体" w:cs="宋体"/>
          <w:sz w:val="28"/>
          <w:szCs w:val="28"/>
        </w:rPr>
        <w:sectPr w:rsidR="0014055E" w:rsidRPr="00194E0C">
          <w:pgSz w:w="11906" w:h="16838"/>
          <w:pgMar w:top="1440" w:right="1800" w:bottom="1440" w:left="1800" w:header="851" w:footer="992" w:gutter="0"/>
          <w:cols w:space="425"/>
          <w:docGrid w:type="lines" w:linePitch="312"/>
        </w:sectPr>
      </w:pPr>
      <w:r w:rsidRPr="00194E0C">
        <w:rPr>
          <w:rFonts w:ascii="宋体" w:eastAsia="宋体" w:hAnsi="宋体" w:cs="宋体" w:hint="eastAsia"/>
          <w:sz w:val="28"/>
          <w:szCs w:val="28"/>
        </w:rPr>
        <w:t>瑞巴派特片</w:t>
      </w:r>
    </w:p>
    <w:p w:rsidR="00BF48DF" w:rsidRDefault="0014055E" w:rsidP="0014055E">
      <w:pPr>
        <w:tabs>
          <w:tab w:val="left" w:pos="8960"/>
        </w:tabs>
        <w:spacing w:line="620" w:lineRule="exact"/>
        <w:rPr>
          <w:rFonts w:ascii="Times New Roman" w:hAnsi="Times New Roman"/>
          <w:sz w:val="28"/>
          <w:szCs w:val="28"/>
        </w:rPr>
      </w:pPr>
      <w:r>
        <w:rPr>
          <w:rFonts w:ascii="Times New Roman" w:hAnsi="Times New Roman" w:hint="eastAsia"/>
          <w:sz w:val="28"/>
          <w:szCs w:val="28"/>
        </w:rPr>
        <w:lastRenderedPageBreak/>
        <w:t>【</w:t>
      </w:r>
      <w:r>
        <w:rPr>
          <w:rFonts w:ascii="宋体" w:eastAsia="宋体" w:hAnsi="宋体" w:cs="宋体" w:hint="eastAsia"/>
          <w:sz w:val="28"/>
          <w:szCs w:val="28"/>
        </w:rPr>
        <w:t>药事警戒</w:t>
      </w:r>
      <w:r>
        <w:rPr>
          <w:rFonts w:ascii="Times New Roman" w:hAnsi="Times New Roman" w:hint="eastAsia"/>
          <w:sz w:val="28"/>
          <w:szCs w:val="28"/>
        </w:rPr>
        <w:t>】</w:t>
      </w:r>
    </w:p>
    <w:p w:rsidR="0014055E" w:rsidRPr="0014055E" w:rsidRDefault="0014055E" w:rsidP="0014055E">
      <w:pPr>
        <w:pStyle w:val="1"/>
        <w:ind w:firstLine="482"/>
      </w:pPr>
      <w:bookmarkStart w:id="0" w:name="_Toc13477"/>
      <w:r w:rsidRPr="0014055E">
        <w:rPr>
          <w:rFonts w:hint="eastAsia"/>
        </w:rPr>
        <w:t>欧盟暂停对羟乙基淀粉溶液的决策程序</w:t>
      </w:r>
      <w:bookmarkEnd w:id="0"/>
    </w:p>
    <w:p w:rsidR="0014055E" w:rsidRPr="0014055E" w:rsidRDefault="0014055E" w:rsidP="0014055E">
      <w:pPr>
        <w:rPr>
          <w:sz w:val="24"/>
        </w:rPr>
      </w:pPr>
      <w:r w:rsidRPr="0014055E">
        <w:rPr>
          <w:rFonts w:hint="eastAsia"/>
          <w:sz w:val="24"/>
        </w:rPr>
        <w:t>2018</w:t>
      </w:r>
      <w:r w:rsidRPr="0014055E">
        <w:rPr>
          <w:rFonts w:hint="eastAsia"/>
          <w:sz w:val="24"/>
        </w:rPr>
        <w:t>年</w:t>
      </w:r>
      <w:r w:rsidRPr="0014055E">
        <w:rPr>
          <w:rFonts w:hint="eastAsia"/>
          <w:sz w:val="24"/>
        </w:rPr>
        <w:t>4</w:t>
      </w:r>
      <w:r w:rsidRPr="0014055E">
        <w:rPr>
          <w:rFonts w:hint="eastAsia"/>
          <w:sz w:val="24"/>
        </w:rPr>
        <w:t>月</w:t>
      </w:r>
      <w:r w:rsidRPr="0014055E">
        <w:rPr>
          <w:rFonts w:hint="eastAsia"/>
          <w:sz w:val="24"/>
        </w:rPr>
        <w:t>9</w:t>
      </w:r>
      <w:r w:rsidRPr="0014055E">
        <w:rPr>
          <w:rFonts w:hint="eastAsia"/>
          <w:sz w:val="24"/>
        </w:rPr>
        <w:t>日，欧盟委员会（</w:t>
      </w:r>
      <w:r w:rsidRPr="0014055E">
        <w:rPr>
          <w:rFonts w:hint="eastAsia"/>
          <w:sz w:val="24"/>
        </w:rPr>
        <w:t>European Commission</w:t>
      </w:r>
      <w:r w:rsidRPr="0014055E">
        <w:rPr>
          <w:rFonts w:hint="eastAsia"/>
          <w:sz w:val="24"/>
        </w:rPr>
        <w:t>）召开会议，决定暂停在欧盟暂停使用羟乙基淀粉溶液的决策程序，并要求药物警戒和风险评估委员会（</w:t>
      </w:r>
      <w:r w:rsidRPr="0014055E">
        <w:rPr>
          <w:rFonts w:hint="eastAsia"/>
          <w:sz w:val="24"/>
        </w:rPr>
        <w:t>PRAC</w:t>
      </w:r>
      <w:r w:rsidRPr="0014055E">
        <w:rPr>
          <w:rFonts w:hint="eastAsia"/>
          <w:sz w:val="24"/>
        </w:rPr>
        <w:t>）和人用药品相互认可和分散评审程序协调组（</w:t>
      </w:r>
      <w:r w:rsidRPr="0014055E">
        <w:rPr>
          <w:rFonts w:hint="eastAsia"/>
          <w:sz w:val="24"/>
        </w:rPr>
        <w:t>CMDh</w:t>
      </w:r>
      <w:r w:rsidRPr="0014055E">
        <w:rPr>
          <w:rFonts w:hint="eastAsia"/>
          <w:sz w:val="24"/>
        </w:rPr>
        <w:t>）修改建议。</w:t>
      </w:r>
    </w:p>
    <w:p w:rsidR="0014055E" w:rsidRPr="0014055E" w:rsidRDefault="0014055E" w:rsidP="0014055E">
      <w:pPr>
        <w:rPr>
          <w:sz w:val="24"/>
        </w:rPr>
      </w:pPr>
      <w:r w:rsidRPr="0014055E">
        <w:rPr>
          <w:rFonts w:hint="eastAsia"/>
          <w:sz w:val="24"/>
        </w:rPr>
        <w:t>2017</w:t>
      </w:r>
      <w:r w:rsidRPr="0014055E">
        <w:rPr>
          <w:rFonts w:hint="eastAsia"/>
          <w:sz w:val="24"/>
        </w:rPr>
        <w:t>年</w:t>
      </w:r>
      <w:r w:rsidRPr="0014055E">
        <w:rPr>
          <w:rFonts w:hint="eastAsia"/>
          <w:sz w:val="24"/>
        </w:rPr>
        <w:t>10</w:t>
      </w:r>
      <w:r w:rsidRPr="0014055E">
        <w:rPr>
          <w:rFonts w:hint="eastAsia"/>
          <w:sz w:val="24"/>
        </w:rPr>
        <w:t>月</w:t>
      </w:r>
      <w:r w:rsidRPr="0014055E">
        <w:rPr>
          <w:rFonts w:hint="eastAsia"/>
          <w:sz w:val="24"/>
        </w:rPr>
        <w:t>17</w:t>
      </w:r>
      <w:r w:rsidRPr="0014055E">
        <w:rPr>
          <w:rFonts w:hint="eastAsia"/>
          <w:sz w:val="24"/>
        </w:rPr>
        <w:t>日，瑞典启动了含羟乙基淀粉的注射液的评估程序。</w:t>
      </w:r>
      <w:r w:rsidRPr="0014055E">
        <w:rPr>
          <w:rFonts w:hint="eastAsia"/>
          <w:sz w:val="24"/>
        </w:rPr>
        <w:t>2018</w:t>
      </w:r>
      <w:r w:rsidRPr="0014055E">
        <w:rPr>
          <w:rFonts w:hint="eastAsia"/>
          <w:sz w:val="24"/>
        </w:rPr>
        <w:t>年</w:t>
      </w:r>
      <w:r w:rsidRPr="0014055E">
        <w:rPr>
          <w:rFonts w:hint="eastAsia"/>
          <w:sz w:val="24"/>
        </w:rPr>
        <w:t>1</w:t>
      </w:r>
      <w:r w:rsidRPr="0014055E">
        <w:rPr>
          <w:rFonts w:hint="eastAsia"/>
          <w:sz w:val="24"/>
        </w:rPr>
        <w:t>月</w:t>
      </w:r>
      <w:r w:rsidRPr="0014055E">
        <w:rPr>
          <w:rFonts w:hint="eastAsia"/>
          <w:sz w:val="24"/>
        </w:rPr>
        <w:t>19</w:t>
      </w:r>
      <w:r w:rsidRPr="0014055E">
        <w:rPr>
          <w:rFonts w:hint="eastAsia"/>
          <w:sz w:val="24"/>
        </w:rPr>
        <w:t>日，</w:t>
      </w:r>
      <w:r w:rsidRPr="0014055E">
        <w:rPr>
          <w:rFonts w:hint="eastAsia"/>
          <w:sz w:val="24"/>
        </w:rPr>
        <w:t>PRAC</w:t>
      </w:r>
      <w:r w:rsidRPr="0014055E">
        <w:rPr>
          <w:rFonts w:hint="eastAsia"/>
          <w:sz w:val="24"/>
        </w:rPr>
        <w:t>建议在欧盟暂停使用羟乙基淀粉溶液。</w:t>
      </w:r>
      <w:r w:rsidRPr="0014055E">
        <w:rPr>
          <w:rFonts w:hint="eastAsia"/>
          <w:sz w:val="24"/>
        </w:rPr>
        <w:t>2018 </w:t>
      </w:r>
      <w:r w:rsidRPr="0014055E">
        <w:rPr>
          <w:rFonts w:hint="eastAsia"/>
          <w:sz w:val="24"/>
        </w:rPr>
        <w:t>年</w:t>
      </w:r>
      <w:r w:rsidRPr="0014055E">
        <w:rPr>
          <w:rFonts w:hint="eastAsia"/>
          <w:sz w:val="24"/>
        </w:rPr>
        <w:t>1</w:t>
      </w:r>
      <w:r w:rsidRPr="0014055E">
        <w:rPr>
          <w:rFonts w:hint="eastAsia"/>
          <w:sz w:val="24"/>
        </w:rPr>
        <w:t>月</w:t>
      </w:r>
      <w:r w:rsidRPr="0014055E">
        <w:rPr>
          <w:rFonts w:hint="eastAsia"/>
          <w:sz w:val="24"/>
        </w:rPr>
        <w:t>24</w:t>
      </w:r>
      <w:r w:rsidRPr="0014055E">
        <w:rPr>
          <w:rFonts w:hint="eastAsia"/>
          <w:sz w:val="24"/>
        </w:rPr>
        <w:t>日</w:t>
      </w:r>
      <w:r w:rsidRPr="0014055E">
        <w:rPr>
          <w:rFonts w:hint="eastAsia"/>
          <w:sz w:val="24"/>
        </w:rPr>
        <w:t>CMDh</w:t>
      </w:r>
      <w:r w:rsidRPr="0014055E">
        <w:rPr>
          <w:rFonts w:hint="eastAsia"/>
          <w:sz w:val="24"/>
        </w:rPr>
        <w:t>以多数票通过</w:t>
      </w:r>
      <w:r w:rsidRPr="0014055E">
        <w:rPr>
          <w:rFonts w:hint="eastAsia"/>
          <w:sz w:val="24"/>
        </w:rPr>
        <w:t>PRAC</w:t>
      </w:r>
      <w:r w:rsidRPr="0014055E">
        <w:rPr>
          <w:rFonts w:hint="eastAsia"/>
          <w:sz w:val="24"/>
        </w:rPr>
        <w:t>的建议。之后</w:t>
      </w:r>
      <w:r w:rsidRPr="0014055E">
        <w:rPr>
          <w:rFonts w:hint="eastAsia"/>
          <w:sz w:val="24"/>
        </w:rPr>
        <w:t>CMDh </w:t>
      </w:r>
      <w:r w:rsidRPr="0014055E">
        <w:rPr>
          <w:rFonts w:hint="eastAsia"/>
          <w:sz w:val="24"/>
        </w:rPr>
        <w:t>将决议递交给了欧盟委员会。</w:t>
      </w:r>
    </w:p>
    <w:p w:rsidR="0014055E" w:rsidRPr="0014055E" w:rsidRDefault="0014055E" w:rsidP="0014055E">
      <w:pPr>
        <w:rPr>
          <w:sz w:val="24"/>
        </w:rPr>
      </w:pPr>
      <w:r w:rsidRPr="0014055E">
        <w:rPr>
          <w:rFonts w:hint="eastAsia"/>
          <w:sz w:val="24"/>
        </w:rPr>
        <w:t>2018 </w:t>
      </w:r>
      <w:r w:rsidRPr="0014055E">
        <w:rPr>
          <w:rFonts w:hint="eastAsia"/>
          <w:sz w:val="24"/>
        </w:rPr>
        <w:t>年</w:t>
      </w:r>
      <w:r w:rsidRPr="0014055E">
        <w:rPr>
          <w:rFonts w:hint="eastAsia"/>
          <w:sz w:val="24"/>
        </w:rPr>
        <w:t>2</w:t>
      </w:r>
      <w:r w:rsidRPr="0014055E">
        <w:rPr>
          <w:rFonts w:hint="eastAsia"/>
          <w:sz w:val="24"/>
        </w:rPr>
        <w:t>月</w:t>
      </w:r>
      <w:r w:rsidRPr="0014055E">
        <w:rPr>
          <w:rFonts w:hint="eastAsia"/>
          <w:sz w:val="24"/>
        </w:rPr>
        <w:t>27</w:t>
      </w:r>
      <w:r w:rsidRPr="0014055E">
        <w:rPr>
          <w:rFonts w:hint="eastAsia"/>
          <w:sz w:val="24"/>
        </w:rPr>
        <w:t>日，基于</w:t>
      </w:r>
      <w:r w:rsidRPr="0014055E">
        <w:rPr>
          <w:rFonts w:hint="eastAsia"/>
          <w:sz w:val="24"/>
        </w:rPr>
        <w:t>CMDh</w:t>
      </w:r>
      <w:r w:rsidRPr="0014055E">
        <w:rPr>
          <w:rFonts w:hint="eastAsia"/>
          <w:sz w:val="24"/>
        </w:rPr>
        <w:t>的决议，欧盟委员会将暂停羟乙基淀粉注射液上市许可的决议草案提交给人用药品常务委员会启动书面程序征求意见。在书面程序期间，捷克共和国、法国和西班牙对该决议草案提出异议，要求召开人用药品常务委员会议，评估是否存在欧洲药品管理局未考虑到的科学性或技术性问题。</w:t>
      </w:r>
    </w:p>
    <w:p w:rsidR="0014055E" w:rsidRPr="0014055E" w:rsidRDefault="0014055E" w:rsidP="00185404">
      <w:pPr>
        <w:spacing w:line="480" w:lineRule="exact"/>
        <w:contextualSpacing/>
        <w:jc w:val="left"/>
        <w:textAlignment w:val="center"/>
        <w:rPr>
          <w:rFonts w:ascii="Times New Roman" w:eastAsia="方正小标宋简体" w:hAnsi="Times New Roman"/>
          <w:sz w:val="24"/>
        </w:rPr>
        <w:sectPr w:rsidR="0014055E" w:rsidRPr="0014055E">
          <w:pgSz w:w="11906" w:h="16838"/>
          <w:pgMar w:top="1440" w:right="1800" w:bottom="1440" w:left="1800" w:header="851" w:footer="992" w:gutter="0"/>
          <w:cols w:space="425"/>
          <w:docGrid w:type="lines" w:linePitch="312"/>
        </w:sectPr>
      </w:pPr>
      <w:r w:rsidRPr="0014055E">
        <w:rPr>
          <w:rFonts w:hint="eastAsia"/>
          <w:sz w:val="24"/>
        </w:rPr>
        <w:t>2018 </w:t>
      </w:r>
      <w:r w:rsidRPr="0014055E">
        <w:rPr>
          <w:rFonts w:hint="eastAsia"/>
          <w:sz w:val="24"/>
        </w:rPr>
        <w:t>年</w:t>
      </w:r>
      <w:r w:rsidRPr="0014055E">
        <w:rPr>
          <w:rFonts w:hint="eastAsia"/>
          <w:sz w:val="24"/>
        </w:rPr>
        <w:t>4</w:t>
      </w:r>
      <w:r w:rsidRPr="0014055E">
        <w:rPr>
          <w:rFonts w:hint="eastAsia"/>
          <w:sz w:val="24"/>
        </w:rPr>
        <w:t>月</w:t>
      </w:r>
      <w:r w:rsidRPr="0014055E">
        <w:rPr>
          <w:rFonts w:hint="eastAsia"/>
          <w:sz w:val="24"/>
        </w:rPr>
        <w:t>9</w:t>
      </w:r>
      <w:r w:rsidRPr="0014055E">
        <w:rPr>
          <w:rFonts w:hint="eastAsia"/>
          <w:sz w:val="24"/>
        </w:rPr>
        <w:t>日，人用药品常务委员会召开全体会议讨论了上述决议草案。会议中捷克共和国、法国、西班牙代表团陈述了他们对该决议草案在科学上和法律上的担忧。一些常务委员会成员对</w:t>
      </w:r>
      <w:r w:rsidRPr="0014055E">
        <w:rPr>
          <w:rFonts w:hint="eastAsia"/>
          <w:sz w:val="24"/>
        </w:rPr>
        <w:t> CMDh</w:t>
      </w:r>
      <w:r w:rsidRPr="0014055E">
        <w:rPr>
          <w:rFonts w:hint="eastAsia"/>
          <w:sz w:val="24"/>
        </w:rPr>
        <w:t>的决定和</w:t>
      </w:r>
      <w:r w:rsidRPr="0014055E">
        <w:rPr>
          <w:rFonts w:hint="eastAsia"/>
          <w:sz w:val="24"/>
        </w:rPr>
        <w:t>PRAC</w:t>
      </w:r>
      <w:r w:rsidRPr="0014055E">
        <w:rPr>
          <w:rFonts w:hint="eastAsia"/>
          <w:sz w:val="24"/>
        </w:rPr>
        <w:t>建议持有异议，认为医疗需求和风险最小化措施的选择仍存在问题。考虑到成员国的书面意见和会议期间讨论的内容，常务委员会主席认为</w:t>
      </w:r>
      <w:r w:rsidRPr="0014055E">
        <w:rPr>
          <w:rFonts w:hint="eastAsia"/>
          <w:sz w:val="24"/>
        </w:rPr>
        <w:t>CMDh</w:t>
      </w:r>
      <w:r w:rsidRPr="0014055E">
        <w:rPr>
          <w:rFonts w:hint="eastAsia"/>
          <w:sz w:val="24"/>
        </w:rPr>
        <w:t>的决定和</w:t>
      </w:r>
      <w:r w:rsidRPr="0014055E">
        <w:rPr>
          <w:rFonts w:hint="eastAsia"/>
          <w:sz w:val="24"/>
        </w:rPr>
        <w:t>PRAC</w:t>
      </w:r>
      <w:r w:rsidRPr="0014055E">
        <w:rPr>
          <w:rFonts w:hint="eastAsia"/>
          <w:sz w:val="24"/>
        </w:rPr>
        <w:t>的建议未充分考虑一些科学性或技术性方面的问题，特别是满足医疗需求以及风险最小化措施的可行性和有效性。因此，委员会将暂停决策程序，并要求</w:t>
      </w:r>
      <w:r w:rsidRPr="0014055E">
        <w:rPr>
          <w:rFonts w:hint="eastAsia"/>
          <w:sz w:val="24"/>
        </w:rPr>
        <w:t>CMDh</w:t>
      </w:r>
      <w:r w:rsidRPr="0014055E">
        <w:rPr>
          <w:rFonts w:hint="eastAsia"/>
          <w:sz w:val="24"/>
        </w:rPr>
        <w:t>和</w:t>
      </w:r>
      <w:r w:rsidRPr="0014055E">
        <w:rPr>
          <w:rFonts w:hint="eastAsia"/>
          <w:sz w:val="24"/>
        </w:rPr>
        <w:t>PRAC</w:t>
      </w:r>
      <w:r w:rsidRPr="0014055E">
        <w:rPr>
          <w:rFonts w:hint="eastAsia"/>
          <w:sz w:val="24"/>
        </w:rPr>
        <w:t>进一步考虑。</w:t>
      </w:r>
      <w:r w:rsidRPr="0014055E">
        <w:rPr>
          <w:rFonts w:hint="eastAsia"/>
          <w:sz w:val="24"/>
        </w:rPr>
        <w:t>PRAC</w:t>
      </w:r>
      <w:r w:rsidRPr="0014055E">
        <w:rPr>
          <w:rFonts w:hint="eastAsia"/>
          <w:sz w:val="24"/>
        </w:rPr>
        <w:t>将在</w:t>
      </w:r>
      <w:r w:rsidRPr="0014055E">
        <w:rPr>
          <w:rFonts w:hint="eastAsia"/>
          <w:sz w:val="24"/>
        </w:rPr>
        <w:t>2018</w:t>
      </w:r>
      <w:r w:rsidRPr="0014055E">
        <w:rPr>
          <w:rFonts w:hint="eastAsia"/>
          <w:sz w:val="24"/>
        </w:rPr>
        <w:t>年</w:t>
      </w:r>
      <w:r w:rsidRPr="0014055E">
        <w:rPr>
          <w:rFonts w:hint="eastAsia"/>
          <w:sz w:val="24"/>
        </w:rPr>
        <w:t>5</w:t>
      </w:r>
      <w:r w:rsidRPr="0014055E">
        <w:rPr>
          <w:rFonts w:hint="eastAsia"/>
          <w:sz w:val="24"/>
        </w:rPr>
        <w:t>月召开的会议中讨论欧盟委员会的建议，修改后的建议将再次提交给</w:t>
      </w:r>
      <w:r w:rsidRPr="0014055E">
        <w:rPr>
          <w:rFonts w:hint="eastAsia"/>
          <w:sz w:val="24"/>
        </w:rPr>
        <w:t>CMDh</w:t>
      </w:r>
      <w:r w:rsidRPr="0014055E">
        <w:rPr>
          <w:rFonts w:hint="eastAsia"/>
          <w:sz w:val="24"/>
        </w:rPr>
        <w:t>。</w:t>
      </w:r>
    </w:p>
    <w:p w:rsidR="0014055E" w:rsidRDefault="0014055E" w:rsidP="0014055E">
      <w:pPr>
        <w:widowControl/>
        <w:spacing w:line="620" w:lineRule="exact"/>
        <w:rPr>
          <w:rFonts w:ascii="Times New Roman" w:hAnsi="Times New Roman"/>
          <w:sz w:val="28"/>
          <w:szCs w:val="28"/>
        </w:rPr>
      </w:pPr>
      <w:r>
        <w:rPr>
          <w:rFonts w:ascii="宋体" w:eastAsia="宋体" w:hAnsi="宋体" w:cs="宋体" w:hint="eastAsia"/>
          <w:sz w:val="28"/>
          <w:szCs w:val="28"/>
        </w:rPr>
        <w:lastRenderedPageBreak/>
        <w:t>【合理用药</w:t>
      </w:r>
      <w:r>
        <w:rPr>
          <w:rFonts w:ascii="Times New Roman" w:hAnsi="Times New Roman" w:hint="eastAsia"/>
          <w:sz w:val="28"/>
          <w:szCs w:val="28"/>
        </w:rPr>
        <w:t>】</w:t>
      </w:r>
    </w:p>
    <w:p w:rsidR="0014055E" w:rsidRPr="0014055E" w:rsidRDefault="0014055E" w:rsidP="0014055E">
      <w:pPr>
        <w:widowControl/>
        <w:spacing w:line="620" w:lineRule="exact"/>
        <w:jc w:val="center"/>
        <w:rPr>
          <w:rFonts w:ascii="Times New Roman" w:hAnsi="Times New Roman"/>
          <w:b/>
          <w:sz w:val="28"/>
          <w:szCs w:val="28"/>
        </w:rPr>
      </w:pPr>
      <w:r w:rsidRPr="0014055E">
        <w:rPr>
          <w:rFonts w:ascii="Times New Roman" w:hAnsi="Times New Roman" w:hint="eastAsia"/>
          <w:b/>
          <w:sz w:val="28"/>
          <w:szCs w:val="28"/>
        </w:rPr>
        <w:t>儿童补钙药谨慎</w:t>
      </w:r>
    </w:p>
    <w:p w:rsidR="00BF48DF" w:rsidRDefault="00BF48DF" w:rsidP="00BF48DF">
      <w:pPr>
        <w:spacing w:line="480" w:lineRule="exact"/>
        <w:ind w:right="700"/>
        <w:contextualSpacing/>
        <w:jc w:val="center"/>
        <w:textAlignment w:val="center"/>
        <w:rPr>
          <w:rFonts w:ascii="Times New Roman" w:eastAsia="方正小标宋简体" w:hAnsi="Times New Roman"/>
          <w:szCs w:val="32"/>
        </w:rPr>
      </w:pPr>
    </w:p>
    <w:p w:rsidR="0014055E" w:rsidRPr="0014055E" w:rsidRDefault="0014055E" w:rsidP="00194E0C">
      <w:pPr>
        <w:spacing w:line="440" w:lineRule="exact"/>
        <w:ind w:firstLine="482"/>
        <w:rPr>
          <w:rFonts w:asciiTheme="minorEastAsia" w:eastAsiaTheme="minorEastAsia" w:hAnsiTheme="minorEastAsia"/>
          <w:b/>
          <w:bCs/>
          <w:sz w:val="24"/>
        </w:rPr>
      </w:pPr>
      <w:r w:rsidRPr="0014055E">
        <w:rPr>
          <w:rFonts w:asciiTheme="minorEastAsia" w:eastAsiaTheme="minorEastAsia" w:hAnsiTheme="minorEastAsia" w:hint="eastAsia"/>
          <w:b/>
          <w:bCs/>
          <w:sz w:val="24"/>
        </w:rPr>
        <w:t>钙的吸收及代谢特点</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hint="eastAsia"/>
          <w:sz w:val="24"/>
        </w:rPr>
        <w:t>钙是人体中含量最多的无机元素，99%存在于骨骼和牙齿中，另外1%以游离或结合状态存在于软组织、细胞间隙和血液中。当血中钙降低时，骨骼中的钙就会释放出来维持钙平衡；当血钙水平上升时，降钙素会降低血液中钙磷的水平，并维持内环境的稳定。</w:t>
      </w:r>
    </w:p>
    <w:p w:rsidR="0014055E" w:rsidRPr="0014055E" w:rsidRDefault="0014055E" w:rsidP="00194E0C">
      <w:pPr>
        <w:spacing w:line="440" w:lineRule="exact"/>
        <w:ind w:firstLine="482"/>
        <w:rPr>
          <w:rFonts w:asciiTheme="minorEastAsia" w:eastAsiaTheme="minorEastAsia" w:hAnsiTheme="minorEastAsia"/>
          <w:b/>
          <w:bCs/>
          <w:sz w:val="24"/>
        </w:rPr>
      </w:pPr>
      <w:r w:rsidRPr="0014055E">
        <w:rPr>
          <w:rFonts w:asciiTheme="minorEastAsia" w:eastAsiaTheme="minorEastAsia" w:hAnsiTheme="minorEastAsia" w:hint="eastAsia"/>
          <w:b/>
          <w:bCs/>
          <w:sz w:val="24"/>
        </w:rPr>
        <w:t>什么情况下儿童需要补钙</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sz w:val="24"/>
        </w:rPr>
        <w:t>一般来说，身体健康、饮食正常的儿童是不需要额外补充钙剂的。如有下列情况之一者，则应在医生和药师的指导下，补充一定量的钙剂：</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sz w:val="24"/>
        </w:rPr>
        <w:t> 1.每天不能摄入足量母乳或牛奶、奶制品的乳儿；</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sz w:val="24"/>
        </w:rPr>
        <w:t> 2.断母乳后，不能保证每天摄入250g以上牛奶或奶制品的小儿；</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sz w:val="24"/>
        </w:rPr>
        <w:t>3.佝偻病活动期应用VitD治疗小儿；</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sz w:val="24"/>
        </w:rPr>
        <w:t>4.患慢性消化道疾病或吸收功能障碍的小儿。</w:t>
      </w:r>
    </w:p>
    <w:p w:rsidR="0014055E" w:rsidRPr="0014055E" w:rsidRDefault="0014055E" w:rsidP="00194E0C">
      <w:pPr>
        <w:spacing w:line="440" w:lineRule="exact"/>
        <w:ind w:firstLine="482"/>
        <w:rPr>
          <w:rFonts w:asciiTheme="minorEastAsia" w:eastAsiaTheme="minorEastAsia" w:hAnsiTheme="minorEastAsia"/>
          <w:b/>
          <w:bCs/>
          <w:sz w:val="24"/>
        </w:rPr>
      </w:pPr>
      <w:r w:rsidRPr="0014055E">
        <w:rPr>
          <w:rFonts w:asciiTheme="minorEastAsia" w:eastAsiaTheme="minorEastAsia" w:hAnsiTheme="minorEastAsia" w:hint="eastAsia"/>
          <w:b/>
          <w:bCs/>
          <w:sz w:val="24"/>
        </w:rPr>
        <w:t>不同年龄段的儿童补钙需求不同</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sz w:val="24"/>
        </w:rPr>
        <w:t>自然界中含钙丰富的食物不多，而且其中人体摄入钙的含量并不高（多为20%-30%），只有奶和奶制品是含钙量最丰富、最可靠的来源（母乳、牛乳中的钙吸收率可达50%-60%），因此，对于断奶期（4个月-1岁或1.5岁）小儿，每天辅食中可添加一定量牛奶制品；对于完全断母乳的小儿，应保证饮入牛奶或奶制品250-500g/d，至少至5岁，最好一直吃下去。</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sz w:val="24"/>
        </w:rPr>
        <w:t>中国营养学会建议儿童每日钙摄入量为：0～6个月400 mg，6个月~2岁为600 mg，3～9岁为800 mg，10-12岁为1000 mg，13～15岁为1200mg，16岁～成年为800 mg。儿童补钙首先强调食补，提倡母乳喂养，按时添加辅食，不偏食。日常饮食要注意补充含钙多的食品：如牛奶、豆制品、蛋黄、虾皮、鸡肉、肝、花生等，因草酸影响钙吸收，应避免食用含草酸丰富的食物。</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sz w:val="24"/>
        </w:rPr>
        <w:t>普遍认为儿童应首选水溶性好、口感好、服用方便、含钙量大、肠吸收率高的钙剂，同时注意钙剂中铅污染问题。药用钙剂有很多种，如葡萄糖酸钙、钙尔奇、盖笛欣、醋酸钙等，无论什么品种，儿童首先推荐使用成分为碳酸钙的制剂。</w:t>
      </w:r>
    </w:p>
    <w:p w:rsidR="0014055E" w:rsidRPr="0014055E" w:rsidRDefault="0014055E" w:rsidP="00194E0C">
      <w:pPr>
        <w:spacing w:line="440" w:lineRule="exact"/>
        <w:ind w:firstLine="482"/>
        <w:rPr>
          <w:rFonts w:asciiTheme="minorEastAsia" w:eastAsiaTheme="minorEastAsia" w:hAnsiTheme="minorEastAsia"/>
          <w:b/>
          <w:bCs/>
          <w:sz w:val="24"/>
        </w:rPr>
      </w:pPr>
      <w:r w:rsidRPr="0014055E">
        <w:rPr>
          <w:rFonts w:asciiTheme="minorEastAsia" w:eastAsiaTheme="minorEastAsia" w:hAnsiTheme="minorEastAsia" w:hint="eastAsia"/>
          <w:b/>
          <w:bCs/>
          <w:sz w:val="24"/>
        </w:rPr>
        <w:t>温馨提示</w:t>
      </w:r>
    </w:p>
    <w:p w:rsidR="0014055E" w:rsidRPr="0014055E" w:rsidRDefault="0014055E" w:rsidP="00194E0C">
      <w:pPr>
        <w:spacing w:line="440" w:lineRule="exact"/>
        <w:rPr>
          <w:rFonts w:asciiTheme="minorEastAsia" w:eastAsiaTheme="minorEastAsia" w:hAnsiTheme="minorEastAsia"/>
          <w:sz w:val="24"/>
        </w:rPr>
      </w:pPr>
      <w:r w:rsidRPr="0014055E">
        <w:rPr>
          <w:rFonts w:asciiTheme="minorEastAsia" w:eastAsiaTheme="minorEastAsia" w:hAnsiTheme="minorEastAsia"/>
          <w:sz w:val="24"/>
        </w:rPr>
        <w:lastRenderedPageBreak/>
        <w:t>儿童补钙是家长不容忽视的问题，儿童补钙应科学合理，采取预防和治疗相结合的方法，加强体育锻炼并适时地照射阳光，饮食搭配均衡，做一个结结实实的健康宝贝。</w:t>
      </w:r>
    </w:p>
    <w:p w:rsidR="0014055E" w:rsidRPr="0014055E" w:rsidRDefault="0014055E" w:rsidP="00BF48DF">
      <w:pPr>
        <w:spacing w:line="480" w:lineRule="exact"/>
        <w:ind w:right="700"/>
        <w:contextualSpacing/>
        <w:jc w:val="center"/>
        <w:textAlignment w:val="center"/>
        <w:rPr>
          <w:rFonts w:asciiTheme="minorEastAsia" w:eastAsiaTheme="minorEastAsia" w:hAnsiTheme="minorEastAsia"/>
          <w:sz w:val="24"/>
        </w:rPr>
        <w:sectPr w:rsidR="0014055E" w:rsidRPr="0014055E">
          <w:pgSz w:w="11906" w:h="16838"/>
          <w:pgMar w:top="1440" w:right="1800" w:bottom="1440" w:left="1800" w:header="851" w:footer="992" w:gutter="0"/>
          <w:cols w:space="425"/>
          <w:docGrid w:type="lines" w:linePitch="312"/>
        </w:sectPr>
      </w:pPr>
    </w:p>
    <w:p w:rsidR="0014055E" w:rsidRPr="0014055E" w:rsidRDefault="0014055E" w:rsidP="0014055E">
      <w:pPr>
        <w:spacing w:line="620" w:lineRule="exact"/>
        <w:rPr>
          <w:rFonts w:asciiTheme="minorEastAsia" w:eastAsiaTheme="minorEastAsia" w:hAnsiTheme="minorEastAsia"/>
          <w:sz w:val="24"/>
        </w:rPr>
      </w:pPr>
      <w:r w:rsidRPr="0014055E">
        <w:rPr>
          <w:rFonts w:asciiTheme="minorEastAsia" w:eastAsiaTheme="minorEastAsia" w:hAnsiTheme="minorEastAsia" w:hint="eastAsia"/>
          <w:sz w:val="24"/>
        </w:rPr>
        <w:lastRenderedPageBreak/>
        <w:t>【</w:t>
      </w:r>
      <w:r w:rsidRPr="0014055E">
        <w:rPr>
          <w:rFonts w:asciiTheme="minorEastAsia" w:eastAsiaTheme="minorEastAsia" w:hAnsiTheme="minorEastAsia" w:cs="宋体" w:hint="eastAsia"/>
          <w:sz w:val="24"/>
        </w:rPr>
        <w:t>指南共识</w:t>
      </w:r>
      <w:r w:rsidRPr="0014055E">
        <w:rPr>
          <w:rFonts w:asciiTheme="minorEastAsia" w:eastAsiaTheme="minorEastAsia" w:hAnsiTheme="minorEastAsia" w:hint="eastAsia"/>
          <w:sz w:val="24"/>
        </w:rPr>
        <w:t>】</w:t>
      </w:r>
    </w:p>
    <w:p w:rsidR="00BF48DF" w:rsidRPr="0014055E" w:rsidRDefault="00BF48DF" w:rsidP="00BF48DF">
      <w:pPr>
        <w:spacing w:line="480" w:lineRule="exact"/>
        <w:ind w:right="700"/>
        <w:contextualSpacing/>
        <w:jc w:val="center"/>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成人慢性气道疾病雾化吸入治疗专家共识</w:t>
      </w:r>
    </w:p>
    <w:p w:rsidR="00BF48DF" w:rsidRPr="0014055E" w:rsidRDefault="00BF48DF" w:rsidP="00BF48DF">
      <w:pPr>
        <w:spacing w:line="480" w:lineRule="exact"/>
        <w:ind w:right="700"/>
        <w:contextualSpacing/>
        <w:jc w:val="center"/>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2012年版</w:t>
      </w:r>
    </w:p>
    <w:p w:rsidR="00BF48DF" w:rsidRPr="0014055E" w:rsidRDefault="00BF48DF" w:rsidP="00BF48DF">
      <w:pPr>
        <w:spacing w:line="220" w:lineRule="exact"/>
        <w:ind w:right="700"/>
        <w:contextualSpacing/>
        <w:jc w:val="left"/>
        <w:textAlignment w:val="center"/>
        <w:rPr>
          <w:rFonts w:asciiTheme="minorEastAsia" w:eastAsiaTheme="minorEastAsia" w:hAnsiTheme="minorEastAsia"/>
          <w:sz w:val="24"/>
        </w:rPr>
      </w:pP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吸入疗法是治疗呼吸系统疾病的常用方法，包括气雾吸入、经储雾罐气雾吸入、干粉吸入以及雾化吸入等，而以雾化吸入疗效最确切，适应证也最广泛。但是，关于雾化吸入治疗的用药方案以及药物配伍信息却非常有限。近期美国卫生系统药师协会发表的常用雾化吸入药物混合配伍指南</w:t>
      </w:r>
      <w:r w:rsidRPr="0014055E">
        <w:rPr>
          <w:rFonts w:asciiTheme="minorEastAsia" w:eastAsiaTheme="minorEastAsia" w:hAnsiTheme="minorEastAsia"/>
          <w:sz w:val="24"/>
          <w:vertAlign w:val="superscript"/>
        </w:rPr>
        <w:t>[1]</w:t>
      </w:r>
      <w:r w:rsidRPr="0014055E">
        <w:rPr>
          <w:rFonts w:asciiTheme="minorEastAsia" w:eastAsiaTheme="minorEastAsia" w:hAnsiTheme="minorEastAsia"/>
          <w:sz w:val="24"/>
        </w:rPr>
        <w:t>提出了可供雾化吸入的药物及其配伍的各种推荐意见，并采用表格形式便于临床医生理 解和掌握。成人慢性气道疾病雾化吸入治疗专家组在该指南的基础上，结合中国呼吸道疾病雾化吸入治疗现状，制定了雾化吸入药物治疗共识，同时根据不同的疾病提出雾化治疗推荐方案，以供临床医师参考。</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一、雾化吸入方式</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1</w:t>
      </w:r>
      <w:r w:rsidRPr="0014055E">
        <w:rPr>
          <w:rFonts w:asciiTheme="minorEastAsia" w:eastAsiaTheme="minorEastAsia" w:hAnsiTheme="minorEastAsia" w:hint="eastAsia"/>
          <w:sz w:val="24"/>
        </w:rPr>
        <w:t>．</w:t>
      </w:r>
      <w:r w:rsidRPr="0014055E">
        <w:rPr>
          <w:rFonts w:asciiTheme="minorEastAsia" w:eastAsiaTheme="minorEastAsia" w:hAnsiTheme="minorEastAsia"/>
          <w:sz w:val="24"/>
        </w:rPr>
        <w:t xml:space="preserve">雾化方法及装置 </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吸入疗法可分为湿化疗法和雾化疗法: 湿化疗法通过湿化器装置，将水或溶液蒸发成水蒸气或由0.05～50μg小水滴组成的气雾，以</w:t>
      </w:r>
      <w:r w:rsidRPr="0014055E">
        <w:rPr>
          <w:rFonts w:asciiTheme="minorEastAsia" w:eastAsiaTheme="minorEastAsia" w:hAnsiTheme="minorEastAsia"/>
          <w:b/>
          <w:bCs/>
          <w:sz w:val="24"/>
        </w:rPr>
        <w:t>提高吸入气体的湿度，湿润气道黏膜，稀释痰液，使黏液纤毛运动保持有效廓清能力。</w:t>
      </w:r>
      <w:r w:rsidRPr="0014055E">
        <w:rPr>
          <w:rFonts w:asciiTheme="minorEastAsia" w:eastAsiaTheme="minorEastAsia" w:hAnsiTheme="minorEastAsia"/>
          <w:sz w:val="24"/>
        </w:rPr>
        <w:t>雾化疗法应用特制的气溶胶发生装置，将水分和药液形成气溶胶的液体微滴或固体微粒，被吸入并沉积于呼吸道和肺泡靶器官，以达到治疗疾病、改善症状的目的，同时雾化吸入也具有一定的湿化气道的作用</w:t>
      </w:r>
      <w:r w:rsidRPr="0014055E">
        <w:rPr>
          <w:rFonts w:asciiTheme="minorEastAsia" w:eastAsiaTheme="minorEastAsia" w:hAnsiTheme="minorEastAsia"/>
          <w:sz w:val="24"/>
          <w:vertAlign w:val="superscript"/>
        </w:rPr>
        <w:t>[2]</w:t>
      </w:r>
      <w:r w:rsidRPr="0014055E">
        <w:rPr>
          <w:rFonts w:asciiTheme="minorEastAsia" w:eastAsiaTheme="minorEastAsia" w:hAnsiTheme="minorEastAsia"/>
          <w:sz w:val="24"/>
        </w:rPr>
        <w:t>。</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当医师决定采用雾化吸入治疗时，必须同时决定使用哪一种吸入装置。目前主要的雾化吸入装置有小容量雾化器（SVN），如喷射雾化器（jet nebulizers）和超声雾化器（USN）两种，两者之间各有优缺点（表1）。</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喷射雾化是最常用的雾化方法，可采用氧气作为喷射雾化气源，但须注意所用的压力和流量。相对而言，通过压缩空气泵产生的气源的压力和流量较为恒定，治疗效果的同质化可比性更好，更适用于比较临床疗效。超声雾化由于超声的剧烈震荡可使雾化容器内的液 体加温，这对某些药物如含蛋白质或肽类的化合物可能不利。超声雾化对混悬液（如糖皮质激素溶液）的雾化效果也不如喷射雾化。此外，对于一些易出现CO</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潴留的患者（如COPD伴呼吸衰竭），高流量氧气雾化吸入在迅速提高PaO</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的同时，也会加重CO</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潴留。另一方面，支气管哮喘患者雾化吸入支气管舒张剂，由于V/Q比值的改变，可短期导致动脉</w:t>
      </w:r>
      <w:r w:rsidRPr="0014055E">
        <w:rPr>
          <w:rFonts w:asciiTheme="minorEastAsia" w:eastAsiaTheme="minorEastAsia" w:hAnsiTheme="minorEastAsia"/>
          <w:sz w:val="24"/>
        </w:rPr>
        <w:lastRenderedPageBreak/>
        <w:t>血氧分压的下降，对这些患 者预先充分给氧或应用氧气雾化吸入则可能有益</w:t>
      </w:r>
      <w:r w:rsidRPr="0014055E">
        <w:rPr>
          <w:rFonts w:asciiTheme="minorEastAsia" w:eastAsiaTheme="minorEastAsia" w:hAnsiTheme="minorEastAsia"/>
          <w:sz w:val="24"/>
          <w:vertAlign w:val="superscript"/>
        </w:rPr>
        <w:t>[5]</w:t>
      </w:r>
      <w:r w:rsidRPr="0014055E">
        <w:rPr>
          <w:rFonts w:asciiTheme="minorEastAsia" w:eastAsiaTheme="minorEastAsia" w:hAnsiTheme="minorEastAsia"/>
          <w:sz w:val="24"/>
        </w:rPr>
        <w:t>。雾化吸入治疗时如需连续应用或湿化吸入的气体，可用大容量USN。</w:t>
      </w:r>
    </w:p>
    <w:p w:rsidR="00BF48DF" w:rsidRPr="0014055E" w:rsidRDefault="00BF48DF" w:rsidP="00BF48DF">
      <w:pPr>
        <w:spacing w:before="200" w:line="480" w:lineRule="exact"/>
        <w:ind w:right="697"/>
        <w:contextualSpacing/>
        <w:jc w:val="center"/>
        <w:textAlignment w:val="center"/>
        <w:rPr>
          <w:rFonts w:asciiTheme="minorEastAsia" w:eastAsiaTheme="minorEastAsia" w:hAnsiTheme="minorEastAsia"/>
          <w:sz w:val="24"/>
          <w:vertAlign w:val="superscript"/>
        </w:rPr>
      </w:pPr>
      <w:r w:rsidRPr="0014055E">
        <w:rPr>
          <w:rFonts w:asciiTheme="minorEastAsia" w:eastAsiaTheme="minorEastAsia" w:hAnsiTheme="minorEastAsia" w:hint="eastAsia"/>
          <w:sz w:val="24"/>
        </w:rPr>
        <w:t>表1 喷射雾化和超声雾化特点比较</w:t>
      </w:r>
      <w:r w:rsidRPr="0014055E">
        <w:rPr>
          <w:rFonts w:asciiTheme="minorEastAsia" w:eastAsiaTheme="minorEastAsia" w:hAnsiTheme="minorEastAsia" w:hint="eastAsia"/>
          <w:sz w:val="24"/>
          <w:vertAlign w:val="superscript"/>
        </w:rPr>
        <w:t>[2-4]</w:t>
      </w:r>
    </w:p>
    <w:tbl>
      <w:tblPr>
        <w:tblW w:w="8435" w:type="dxa"/>
        <w:jc w:val="center"/>
        <w:tblInd w:w="2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696"/>
        <w:gridCol w:w="2966"/>
        <w:gridCol w:w="3773"/>
      </w:tblGrid>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E3E3E3"/>
            <w:vAlign w:val="center"/>
          </w:tcPr>
          <w:p w:rsidR="00BF48DF" w:rsidRDefault="00BF48DF" w:rsidP="0014055E">
            <w:pPr>
              <w:widowControl/>
              <w:shd w:val="clear" w:color="auto" w:fill="E3E3E3"/>
              <w:spacing w:line="270" w:lineRule="atLeast"/>
              <w:jc w:val="center"/>
              <w:rPr>
                <w:rFonts w:ascii="Times New Roman" w:eastAsia="微软雅黑" w:hAnsi="Times New Roman"/>
                <w:b/>
                <w:color w:val="333333"/>
                <w:sz w:val="21"/>
                <w:szCs w:val="21"/>
              </w:rPr>
            </w:pPr>
            <w:r>
              <w:rPr>
                <w:rFonts w:ascii="Times New Roman" w:eastAsia="微软雅黑" w:hAnsi="微软雅黑"/>
                <w:b/>
                <w:color w:val="333333"/>
                <w:kern w:val="0"/>
                <w:sz w:val="21"/>
                <w:szCs w:val="21"/>
              </w:rPr>
              <w:t>内容</w:t>
            </w:r>
          </w:p>
        </w:tc>
        <w:tc>
          <w:tcPr>
            <w:tcW w:w="2966" w:type="dxa"/>
            <w:tcBorders>
              <w:top w:val="outset" w:sz="6" w:space="0" w:color="auto"/>
              <w:left w:val="outset" w:sz="6" w:space="0" w:color="auto"/>
              <w:bottom w:val="outset" w:sz="6" w:space="0" w:color="auto"/>
              <w:right w:val="outset" w:sz="6" w:space="0" w:color="auto"/>
            </w:tcBorders>
            <w:shd w:val="clear" w:color="auto" w:fill="E3E3E3"/>
            <w:vAlign w:val="center"/>
          </w:tcPr>
          <w:p w:rsidR="00BF48DF" w:rsidRDefault="00BF48DF" w:rsidP="0014055E">
            <w:pPr>
              <w:widowControl/>
              <w:shd w:val="clear" w:color="auto" w:fill="E3E3E3"/>
              <w:spacing w:line="270" w:lineRule="atLeast"/>
              <w:jc w:val="center"/>
              <w:rPr>
                <w:rFonts w:ascii="Times New Roman" w:eastAsia="微软雅黑" w:hAnsi="Times New Roman"/>
                <w:b/>
                <w:color w:val="333333"/>
                <w:sz w:val="21"/>
                <w:szCs w:val="21"/>
              </w:rPr>
            </w:pPr>
            <w:r>
              <w:rPr>
                <w:rFonts w:ascii="Times New Roman" w:eastAsia="微软雅黑" w:hAnsi="微软雅黑"/>
                <w:b/>
                <w:color w:val="333333"/>
                <w:kern w:val="0"/>
                <w:sz w:val="21"/>
                <w:szCs w:val="21"/>
              </w:rPr>
              <w:t>喷射雾化</w:t>
            </w:r>
          </w:p>
        </w:tc>
        <w:tc>
          <w:tcPr>
            <w:tcW w:w="3773" w:type="dxa"/>
            <w:tcBorders>
              <w:top w:val="outset" w:sz="6" w:space="0" w:color="auto"/>
              <w:left w:val="outset" w:sz="6" w:space="0" w:color="auto"/>
              <w:bottom w:val="outset" w:sz="6" w:space="0" w:color="auto"/>
              <w:right w:val="outset" w:sz="6" w:space="0" w:color="auto"/>
            </w:tcBorders>
            <w:shd w:val="clear" w:color="auto" w:fill="E3E3E3"/>
            <w:vAlign w:val="center"/>
          </w:tcPr>
          <w:p w:rsidR="00BF48DF" w:rsidRDefault="00BF48DF" w:rsidP="0014055E">
            <w:pPr>
              <w:widowControl/>
              <w:shd w:val="clear" w:color="auto" w:fill="E3E3E3"/>
              <w:spacing w:line="270" w:lineRule="atLeast"/>
              <w:jc w:val="center"/>
              <w:rPr>
                <w:rFonts w:ascii="Times New Roman" w:eastAsia="微软雅黑" w:hAnsi="Times New Roman"/>
                <w:b/>
                <w:color w:val="333333"/>
                <w:sz w:val="21"/>
                <w:szCs w:val="21"/>
              </w:rPr>
            </w:pPr>
            <w:r>
              <w:rPr>
                <w:rFonts w:ascii="Times New Roman" w:eastAsia="微软雅黑" w:hAnsi="微软雅黑"/>
                <w:b/>
                <w:color w:val="333333"/>
                <w:kern w:val="0"/>
                <w:sz w:val="21"/>
                <w:szCs w:val="21"/>
              </w:rPr>
              <w:t>超声雾化</w:t>
            </w:r>
          </w:p>
        </w:tc>
      </w:tr>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eastAsia="微软雅黑" w:hAnsi="Times New Roman"/>
                <w:color w:val="333333"/>
                <w:sz w:val="21"/>
                <w:szCs w:val="21"/>
              </w:rPr>
            </w:pPr>
            <w:r>
              <w:rPr>
                <w:rFonts w:ascii="Times New Roman" w:eastAsia="微软雅黑" w:hAnsi="微软雅黑"/>
                <w:color w:val="333333"/>
                <w:kern w:val="0"/>
                <w:sz w:val="21"/>
                <w:szCs w:val="21"/>
              </w:rPr>
              <w:t>动力</w:t>
            </w:r>
          </w:p>
        </w:tc>
        <w:tc>
          <w:tcPr>
            <w:tcW w:w="296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压缩气源或氧气</w:t>
            </w:r>
          </w:p>
        </w:tc>
        <w:tc>
          <w:tcPr>
            <w:tcW w:w="3773"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电源</w:t>
            </w:r>
          </w:p>
        </w:tc>
      </w:tr>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eastAsia="微软雅黑" w:hAnsi="Times New Roman"/>
                <w:color w:val="333333"/>
                <w:sz w:val="21"/>
                <w:szCs w:val="21"/>
              </w:rPr>
            </w:pPr>
            <w:r>
              <w:rPr>
                <w:rFonts w:ascii="Times New Roman" w:eastAsia="微软雅黑" w:hAnsi="微软雅黑"/>
                <w:color w:val="333333"/>
                <w:kern w:val="0"/>
                <w:sz w:val="21"/>
                <w:szCs w:val="21"/>
              </w:rPr>
              <w:t>原理</w:t>
            </w:r>
          </w:p>
        </w:tc>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hAnsi="Times New Roman"/>
                <w:color w:val="333333"/>
                <w:sz w:val="21"/>
                <w:szCs w:val="21"/>
              </w:rPr>
            </w:pPr>
            <w:r>
              <w:rPr>
                <w:rFonts w:ascii="Times New Roman" w:eastAsia="宋体" w:hAnsi="Times New Roman"/>
                <w:color w:val="333333"/>
                <w:kern w:val="0"/>
                <w:sz w:val="21"/>
                <w:szCs w:val="21"/>
              </w:rPr>
              <w:t>Venturi</w:t>
            </w:r>
            <w:r>
              <w:rPr>
                <w:rFonts w:ascii="Times New Roman" w:eastAsia="宋体" w:hAnsi="Arial"/>
                <w:color w:val="333333"/>
                <w:kern w:val="0"/>
                <w:sz w:val="21"/>
                <w:szCs w:val="21"/>
              </w:rPr>
              <w:t>效应</w:t>
            </w:r>
          </w:p>
        </w:tc>
        <w:tc>
          <w:tcPr>
            <w:tcW w:w="3773"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超声波的震动</w:t>
            </w:r>
          </w:p>
        </w:tc>
      </w:tr>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eastAsia="微软雅黑" w:hAnsi="Times New Roman"/>
                <w:color w:val="333333"/>
                <w:sz w:val="21"/>
                <w:szCs w:val="21"/>
              </w:rPr>
            </w:pPr>
            <w:r>
              <w:rPr>
                <w:rFonts w:ascii="Times New Roman" w:eastAsia="微软雅黑" w:hAnsi="微软雅黑"/>
                <w:color w:val="333333"/>
                <w:kern w:val="0"/>
                <w:sz w:val="21"/>
                <w:szCs w:val="21"/>
              </w:rPr>
              <w:t>每次雾化量</w:t>
            </w:r>
          </w:p>
        </w:tc>
        <w:tc>
          <w:tcPr>
            <w:tcW w:w="296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Times New Roman"/>
                <w:color w:val="333333"/>
                <w:kern w:val="0"/>
                <w:sz w:val="21"/>
                <w:szCs w:val="21"/>
              </w:rPr>
              <w:t>4</w:t>
            </w:r>
            <w:r>
              <w:rPr>
                <w:rFonts w:ascii="Times New Roman" w:eastAsia="宋体" w:hAnsi="Arial"/>
                <w:color w:val="333333"/>
                <w:kern w:val="0"/>
                <w:sz w:val="21"/>
                <w:szCs w:val="21"/>
              </w:rPr>
              <w:t>～</w:t>
            </w:r>
            <w:r>
              <w:rPr>
                <w:rFonts w:ascii="Times New Roman" w:eastAsia="宋体" w:hAnsi="Times New Roman"/>
                <w:color w:val="333333"/>
                <w:kern w:val="0"/>
                <w:sz w:val="21"/>
                <w:szCs w:val="21"/>
              </w:rPr>
              <w:t>6 mL</w:t>
            </w:r>
          </w:p>
        </w:tc>
        <w:tc>
          <w:tcPr>
            <w:tcW w:w="3773"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根据不同雾化器和治疗要求决定</w:t>
            </w:r>
          </w:p>
        </w:tc>
      </w:tr>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eastAsia="微软雅黑" w:hAnsi="Times New Roman"/>
                <w:color w:val="333333"/>
                <w:sz w:val="21"/>
                <w:szCs w:val="21"/>
              </w:rPr>
            </w:pPr>
            <w:r>
              <w:rPr>
                <w:rFonts w:ascii="Times New Roman" w:eastAsia="微软雅黑" w:hAnsi="微软雅黑"/>
                <w:color w:val="333333"/>
                <w:kern w:val="0"/>
                <w:sz w:val="21"/>
                <w:szCs w:val="21"/>
              </w:rPr>
              <w:t>气溶胶直径</w:t>
            </w:r>
          </w:p>
        </w:tc>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一般</w:t>
            </w:r>
            <w:r>
              <w:rPr>
                <w:rFonts w:ascii="Times New Roman" w:eastAsia="宋体" w:hAnsi="Times New Roman"/>
                <w:color w:val="333333"/>
                <w:kern w:val="0"/>
                <w:sz w:val="21"/>
                <w:szCs w:val="21"/>
              </w:rPr>
              <w:t>2</w:t>
            </w:r>
            <w:r>
              <w:rPr>
                <w:rFonts w:ascii="Times New Roman" w:eastAsia="宋体" w:hAnsi="Arial"/>
                <w:color w:val="333333"/>
                <w:kern w:val="0"/>
                <w:sz w:val="21"/>
                <w:szCs w:val="21"/>
              </w:rPr>
              <w:t>～</w:t>
            </w:r>
            <w:r>
              <w:rPr>
                <w:rFonts w:ascii="Times New Roman" w:eastAsia="宋体" w:hAnsi="Times New Roman"/>
                <w:color w:val="333333"/>
                <w:kern w:val="0"/>
                <w:sz w:val="21"/>
                <w:szCs w:val="21"/>
              </w:rPr>
              <w:t>4 μm</w:t>
            </w:r>
            <w:r>
              <w:rPr>
                <w:rFonts w:ascii="Times New Roman" w:eastAsia="宋体" w:hAnsi="Arial"/>
                <w:color w:val="333333"/>
                <w:kern w:val="0"/>
                <w:sz w:val="21"/>
                <w:szCs w:val="21"/>
              </w:rPr>
              <w:t>，与气源流量有关</w:t>
            </w:r>
          </w:p>
        </w:tc>
        <w:tc>
          <w:tcPr>
            <w:tcW w:w="3773"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每个仪器相对不变，范围</w:t>
            </w:r>
            <w:r>
              <w:rPr>
                <w:rFonts w:ascii="Times New Roman" w:eastAsia="宋体" w:hAnsi="Times New Roman"/>
                <w:color w:val="333333"/>
                <w:kern w:val="0"/>
                <w:sz w:val="21"/>
                <w:szCs w:val="21"/>
              </w:rPr>
              <w:t>3.7</w:t>
            </w:r>
            <w:r>
              <w:rPr>
                <w:rFonts w:ascii="Times New Roman" w:eastAsia="宋体" w:hAnsi="Arial"/>
                <w:color w:val="333333"/>
                <w:kern w:val="0"/>
                <w:sz w:val="21"/>
                <w:szCs w:val="21"/>
              </w:rPr>
              <w:t>～</w:t>
            </w:r>
            <w:r>
              <w:rPr>
                <w:rFonts w:ascii="Times New Roman" w:eastAsia="宋体" w:hAnsi="Times New Roman"/>
                <w:color w:val="333333"/>
                <w:kern w:val="0"/>
                <w:sz w:val="21"/>
                <w:szCs w:val="21"/>
              </w:rPr>
              <w:t>10.5 μm</w:t>
            </w:r>
          </w:p>
        </w:tc>
      </w:tr>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eastAsia="微软雅黑" w:hAnsi="Times New Roman"/>
                <w:color w:val="333333"/>
                <w:sz w:val="21"/>
                <w:szCs w:val="21"/>
              </w:rPr>
            </w:pPr>
            <w:r>
              <w:rPr>
                <w:rFonts w:ascii="Times New Roman" w:eastAsia="微软雅黑" w:hAnsi="微软雅黑"/>
                <w:color w:val="333333"/>
                <w:kern w:val="0"/>
                <w:sz w:val="21"/>
                <w:szCs w:val="21"/>
              </w:rPr>
              <w:t>气雾量</w:t>
            </w:r>
          </w:p>
        </w:tc>
        <w:tc>
          <w:tcPr>
            <w:tcW w:w="296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小，耗液</w:t>
            </w:r>
            <w:r>
              <w:rPr>
                <w:rFonts w:ascii="Times New Roman" w:eastAsia="宋体" w:hAnsi="Times New Roman"/>
                <w:color w:val="333333"/>
                <w:kern w:val="0"/>
                <w:sz w:val="21"/>
                <w:szCs w:val="21"/>
              </w:rPr>
              <w:t>0.5 mL/min</w:t>
            </w:r>
          </w:p>
        </w:tc>
        <w:tc>
          <w:tcPr>
            <w:tcW w:w="3773"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较大，耗液</w:t>
            </w:r>
            <w:r>
              <w:rPr>
                <w:rFonts w:ascii="Times New Roman" w:eastAsia="宋体" w:hAnsi="Times New Roman"/>
                <w:color w:val="333333"/>
                <w:kern w:val="0"/>
                <w:sz w:val="21"/>
                <w:szCs w:val="21"/>
              </w:rPr>
              <w:t>1</w:t>
            </w:r>
            <w:r>
              <w:rPr>
                <w:rFonts w:ascii="Times New Roman" w:eastAsia="宋体" w:hAnsi="Arial"/>
                <w:color w:val="333333"/>
                <w:kern w:val="0"/>
                <w:sz w:val="21"/>
                <w:szCs w:val="21"/>
              </w:rPr>
              <w:t>～</w:t>
            </w:r>
            <w:r>
              <w:rPr>
                <w:rFonts w:ascii="Times New Roman" w:eastAsia="宋体" w:hAnsi="Times New Roman"/>
                <w:color w:val="333333"/>
                <w:kern w:val="0"/>
                <w:sz w:val="21"/>
                <w:szCs w:val="21"/>
              </w:rPr>
              <w:t>2 mL/min</w:t>
            </w:r>
          </w:p>
        </w:tc>
      </w:tr>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eastAsia="微软雅黑" w:hAnsi="Times New Roman"/>
                <w:color w:val="333333"/>
                <w:sz w:val="21"/>
                <w:szCs w:val="21"/>
              </w:rPr>
            </w:pPr>
            <w:r>
              <w:rPr>
                <w:rFonts w:ascii="Times New Roman" w:eastAsia="微软雅黑" w:hAnsi="微软雅黑"/>
                <w:color w:val="333333"/>
                <w:kern w:val="0"/>
                <w:sz w:val="21"/>
                <w:szCs w:val="21"/>
              </w:rPr>
              <w:t>气雾温度</w:t>
            </w:r>
          </w:p>
        </w:tc>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持续雾化时，因蒸发温度下降</w:t>
            </w:r>
          </w:p>
        </w:tc>
        <w:tc>
          <w:tcPr>
            <w:tcW w:w="3773"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持续雾化时，温度不变或略升高</w:t>
            </w:r>
          </w:p>
        </w:tc>
      </w:tr>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eastAsia="微软雅黑" w:hAnsi="Times New Roman"/>
                <w:color w:val="333333"/>
                <w:sz w:val="21"/>
                <w:szCs w:val="21"/>
              </w:rPr>
            </w:pPr>
            <w:r>
              <w:rPr>
                <w:rFonts w:ascii="Times New Roman" w:eastAsia="微软雅黑" w:hAnsi="微软雅黑"/>
                <w:color w:val="333333"/>
                <w:kern w:val="0"/>
                <w:sz w:val="21"/>
                <w:szCs w:val="21"/>
              </w:rPr>
              <w:t>死腔容积</w:t>
            </w:r>
          </w:p>
        </w:tc>
        <w:tc>
          <w:tcPr>
            <w:tcW w:w="296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约</w:t>
            </w:r>
            <w:r>
              <w:rPr>
                <w:rFonts w:ascii="Times New Roman" w:eastAsia="宋体" w:hAnsi="Times New Roman"/>
                <w:color w:val="333333"/>
                <w:kern w:val="0"/>
                <w:sz w:val="21"/>
                <w:szCs w:val="21"/>
              </w:rPr>
              <w:t>2 mL</w:t>
            </w:r>
          </w:p>
        </w:tc>
        <w:tc>
          <w:tcPr>
            <w:tcW w:w="3773"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Times New Roman"/>
                <w:color w:val="333333"/>
                <w:kern w:val="0"/>
                <w:sz w:val="21"/>
                <w:szCs w:val="21"/>
              </w:rPr>
              <w:t>0.5</w:t>
            </w:r>
            <w:r>
              <w:rPr>
                <w:rFonts w:ascii="Times New Roman" w:eastAsia="宋体" w:hAnsi="Arial"/>
                <w:color w:val="333333"/>
                <w:kern w:val="0"/>
                <w:sz w:val="21"/>
                <w:szCs w:val="21"/>
              </w:rPr>
              <w:t>～</w:t>
            </w:r>
            <w:r>
              <w:rPr>
                <w:rFonts w:ascii="Times New Roman" w:eastAsia="宋体" w:hAnsi="Times New Roman"/>
                <w:color w:val="333333"/>
                <w:kern w:val="0"/>
                <w:sz w:val="21"/>
                <w:szCs w:val="21"/>
              </w:rPr>
              <w:t>1 mL</w:t>
            </w:r>
          </w:p>
        </w:tc>
      </w:tr>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eastAsia="微软雅黑" w:hAnsi="Times New Roman"/>
                <w:color w:val="333333"/>
                <w:sz w:val="21"/>
                <w:szCs w:val="21"/>
              </w:rPr>
            </w:pPr>
            <w:r>
              <w:rPr>
                <w:rFonts w:ascii="Times New Roman" w:eastAsia="微软雅黑" w:hAnsi="微软雅黑"/>
                <w:color w:val="333333"/>
                <w:kern w:val="0"/>
                <w:sz w:val="21"/>
                <w:szCs w:val="21"/>
              </w:rPr>
              <w:t>雾粒在肺内沉降</w:t>
            </w:r>
          </w:p>
        </w:tc>
        <w:tc>
          <w:tcPr>
            <w:tcW w:w="296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hAnsi="Times New Roman"/>
                <w:color w:val="333333"/>
                <w:sz w:val="21"/>
                <w:szCs w:val="21"/>
              </w:rPr>
            </w:pPr>
            <w:r>
              <w:rPr>
                <w:rFonts w:ascii="Times New Roman" w:eastAsia="宋体" w:hAnsi="Times New Roman"/>
                <w:color w:val="333333"/>
                <w:kern w:val="0"/>
                <w:sz w:val="21"/>
                <w:szCs w:val="21"/>
              </w:rPr>
              <w:t>10%</w:t>
            </w:r>
            <w:r>
              <w:rPr>
                <w:rFonts w:ascii="Times New Roman" w:eastAsia="宋体" w:hAnsi="Arial"/>
                <w:color w:val="333333"/>
                <w:kern w:val="0"/>
                <w:sz w:val="21"/>
                <w:szCs w:val="21"/>
              </w:rPr>
              <w:t>左右</w:t>
            </w:r>
          </w:p>
        </w:tc>
        <w:tc>
          <w:tcPr>
            <w:tcW w:w="3773"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Default="00BF48DF" w:rsidP="0014055E">
            <w:pPr>
              <w:widowControl/>
              <w:spacing w:line="270" w:lineRule="atLeast"/>
              <w:jc w:val="left"/>
              <w:rPr>
                <w:rFonts w:ascii="Times New Roman" w:hAnsi="Times New Roman"/>
                <w:color w:val="333333"/>
                <w:sz w:val="21"/>
                <w:szCs w:val="21"/>
              </w:rPr>
            </w:pPr>
            <w:r>
              <w:rPr>
                <w:rFonts w:ascii="Times New Roman" w:eastAsia="宋体" w:hAnsi="Times New Roman"/>
                <w:color w:val="333333"/>
                <w:kern w:val="0"/>
                <w:sz w:val="21"/>
                <w:szCs w:val="21"/>
              </w:rPr>
              <w:t>2%</w:t>
            </w:r>
            <w:r>
              <w:rPr>
                <w:rFonts w:ascii="Times New Roman" w:eastAsia="宋体" w:hAnsi="Arial"/>
                <w:color w:val="333333"/>
                <w:kern w:val="0"/>
                <w:sz w:val="21"/>
                <w:szCs w:val="21"/>
              </w:rPr>
              <w:t>～</w:t>
            </w:r>
            <w:r>
              <w:rPr>
                <w:rFonts w:ascii="Times New Roman" w:eastAsia="宋体" w:hAnsi="Times New Roman"/>
                <w:color w:val="333333"/>
                <w:kern w:val="0"/>
                <w:sz w:val="21"/>
                <w:szCs w:val="21"/>
              </w:rPr>
              <w:t>12%</w:t>
            </w:r>
          </w:p>
        </w:tc>
      </w:tr>
      <w:tr w:rsidR="00BF48DF" w:rsidTr="0014055E">
        <w:trPr>
          <w:jc w:val="center"/>
        </w:trPr>
        <w:tc>
          <w:tcPr>
            <w:tcW w:w="169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eastAsia="微软雅黑" w:hAnsi="Times New Roman"/>
                <w:color w:val="333333"/>
                <w:sz w:val="21"/>
                <w:szCs w:val="21"/>
              </w:rPr>
            </w:pPr>
            <w:r>
              <w:rPr>
                <w:rFonts w:ascii="Times New Roman" w:eastAsia="微软雅黑" w:hAnsi="微软雅黑"/>
                <w:color w:val="333333"/>
                <w:kern w:val="0"/>
                <w:sz w:val="21"/>
                <w:szCs w:val="21"/>
              </w:rPr>
              <w:t>对雾化药物的影响</w:t>
            </w:r>
          </w:p>
        </w:tc>
        <w:tc>
          <w:tcPr>
            <w:tcW w:w="296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几乎无</w:t>
            </w:r>
          </w:p>
        </w:tc>
        <w:tc>
          <w:tcPr>
            <w:tcW w:w="3773"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Default="00BF48DF" w:rsidP="0014055E">
            <w:pPr>
              <w:widowControl/>
              <w:shd w:val="clear" w:color="auto" w:fill="F3F3F3"/>
              <w:spacing w:line="270" w:lineRule="atLeast"/>
              <w:jc w:val="left"/>
              <w:rPr>
                <w:rFonts w:ascii="Times New Roman" w:hAnsi="Times New Roman"/>
                <w:color w:val="333333"/>
                <w:sz w:val="21"/>
                <w:szCs w:val="21"/>
              </w:rPr>
            </w:pPr>
            <w:r>
              <w:rPr>
                <w:rFonts w:ascii="Times New Roman" w:eastAsia="宋体" w:hAnsi="Arial"/>
                <w:color w:val="333333"/>
                <w:kern w:val="0"/>
                <w:sz w:val="21"/>
                <w:szCs w:val="21"/>
              </w:rPr>
              <w:t>可能有</w:t>
            </w:r>
          </w:p>
        </w:tc>
      </w:tr>
    </w:tbl>
    <w:p w:rsidR="00BF48DF" w:rsidRDefault="00BF48DF" w:rsidP="00BF48DF">
      <w:pPr>
        <w:spacing w:line="480" w:lineRule="exact"/>
        <w:ind w:right="700"/>
        <w:contextualSpacing/>
        <w:jc w:val="left"/>
        <w:textAlignment w:val="center"/>
        <w:rPr>
          <w:rFonts w:ascii="Times New Roman" w:hAnsi="Times New Roman"/>
          <w:sz w:val="28"/>
          <w:szCs w:val="28"/>
        </w:rPr>
      </w:pP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2．气管插管、机械通气患者雾化吸入装置的选择</w:t>
      </w:r>
      <w:r w:rsidRPr="0014055E">
        <w:rPr>
          <w:rFonts w:asciiTheme="minorEastAsia" w:eastAsiaTheme="minorEastAsia" w:hAnsiTheme="minorEastAsia" w:hint="eastAsia"/>
          <w:sz w:val="24"/>
          <w:vertAlign w:val="superscript"/>
        </w:rPr>
        <w:t>[3]</w:t>
      </w:r>
      <w:r w:rsidRPr="0014055E">
        <w:rPr>
          <w:rFonts w:asciiTheme="minorEastAsia" w:eastAsiaTheme="minorEastAsia" w:hAnsiTheme="minorEastAsia" w:hint="eastAsia"/>
          <w:sz w:val="24"/>
        </w:rPr>
        <w:t>?</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气管插管患者常需雾化吸入支气管舒张剂来治疗支气管痉挛。然而气管插管可影响气溶胶进入下呼吸道，若欲达到相同的疗效，一般需要较高的剂量。气管插管患者常选用SVN，将SVN安置于通气机的Y型管或管路的复式接头上，位于通气机和Y型管之间。雾化器的驱动力可用压缩空气或连续氧气气流。研究显示，机械通气患者应用SVN时，仅有3%的气溶胶沉降于肺</w:t>
      </w:r>
      <w:r w:rsidRPr="0014055E">
        <w:rPr>
          <w:rFonts w:asciiTheme="minorEastAsia" w:eastAsiaTheme="minorEastAsia" w:hAnsiTheme="minorEastAsia" w:hint="eastAsia"/>
          <w:sz w:val="24"/>
          <w:vertAlign w:val="superscript"/>
        </w:rPr>
        <w:t>[3]</w:t>
      </w:r>
      <w:r w:rsidRPr="0014055E">
        <w:rPr>
          <w:rFonts w:asciiTheme="minorEastAsia" w:eastAsiaTheme="minorEastAsia" w:hAnsiTheme="minorEastAsia" w:hint="eastAsia"/>
          <w:sz w:val="24"/>
        </w:rPr>
        <w:t>。但如果雾化器以复式接头与通气机管道连接且只在吸气时开放，则可显著增加肺内沉积量。</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二、临床中常用的雾化吸入药物</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目前医院常用雾化吸入药物包括糖皮质激素、</w:t>
      </w:r>
      <w:r w:rsidRPr="0014055E">
        <w:rPr>
          <w:rFonts w:asciiTheme="minorEastAsia" w:eastAsiaTheme="minorEastAsia" w:hAnsiTheme="minorEastAsia"/>
          <w:sz w:val="24"/>
        </w:rPr>
        <w:t>β</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受</w:t>
      </w:r>
      <w:r w:rsidRPr="0014055E">
        <w:rPr>
          <w:rFonts w:asciiTheme="minorEastAsia" w:eastAsiaTheme="minorEastAsia" w:hAnsiTheme="minorEastAsia" w:hint="eastAsia"/>
          <w:sz w:val="24"/>
        </w:rPr>
        <w:t>体激动剂、抗胆碱能药物、黏液溶解剂、抗菌药物等。</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1．糖皮质激素</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吸入性糖皮质激素是当前治疗支气管哮喘最有效的抗炎药物。已有大量研</w:t>
      </w:r>
      <w:r w:rsidRPr="0014055E">
        <w:rPr>
          <w:rFonts w:asciiTheme="minorEastAsia" w:eastAsiaTheme="minorEastAsia" w:hAnsiTheme="minorEastAsia" w:hint="eastAsia"/>
          <w:sz w:val="24"/>
        </w:rPr>
        <w:lastRenderedPageBreak/>
        <w:t>究证实其可有效缓解哮喘症状，提高生活质量，改善肺功能，控制气道炎症，减少急性发作次数以及降低死亡率</w:t>
      </w:r>
      <w:r w:rsidRPr="0014055E">
        <w:rPr>
          <w:rFonts w:asciiTheme="minorEastAsia" w:eastAsiaTheme="minorEastAsia" w:hAnsiTheme="minorEastAsia" w:hint="eastAsia"/>
          <w:sz w:val="24"/>
          <w:vertAlign w:val="superscript"/>
        </w:rPr>
        <w:t>[6]</w:t>
      </w:r>
      <w:r w:rsidRPr="0014055E">
        <w:rPr>
          <w:rFonts w:asciiTheme="minorEastAsia" w:eastAsiaTheme="minorEastAsia" w:hAnsiTheme="minorEastAsia" w:hint="eastAsia"/>
          <w:sz w:val="24"/>
        </w:rPr>
        <w:t>。此外，吸入性糖皮质激素规律治疗同样适用于重度伴频繁急性加重的COPD患者</w:t>
      </w:r>
      <w:r w:rsidRPr="0014055E">
        <w:rPr>
          <w:rFonts w:asciiTheme="minorEastAsia" w:eastAsiaTheme="minorEastAsia" w:hAnsiTheme="minorEastAsia" w:hint="eastAsia"/>
          <w:sz w:val="24"/>
          <w:vertAlign w:val="superscript"/>
        </w:rPr>
        <w:t>[7]</w:t>
      </w:r>
      <w:r w:rsidRPr="0014055E">
        <w:rPr>
          <w:rFonts w:asciiTheme="minorEastAsia" w:eastAsiaTheme="minorEastAsia" w:hAnsiTheme="minorEastAsia" w:hint="eastAsia"/>
          <w:sz w:val="24"/>
        </w:rPr>
        <w:t>。</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(1)布地奈德：国内有雾化吸入剂型</w:t>
      </w:r>
      <w:r w:rsidRPr="0014055E">
        <w:rPr>
          <w:rFonts w:asciiTheme="minorEastAsia" w:eastAsiaTheme="minorEastAsia" w:hAnsiTheme="minorEastAsia" w:hint="eastAsia"/>
          <w:sz w:val="24"/>
          <w:vertAlign w:val="superscript"/>
        </w:rPr>
        <w:t>[8]</w:t>
      </w:r>
      <w:r w:rsidRPr="0014055E">
        <w:rPr>
          <w:rFonts w:asciiTheme="minorEastAsia" w:eastAsiaTheme="minorEastAsia" w:hAnsiTheme="minorEastAsia" w:hint="eastAsia"/>
          <w:sz w:val="24"/>
        </w:rPr>
        <w:t>。</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制剂：吸入用布地奈德混悬液（Budesonide Suspension for Inhalation）</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雾化溶液：0.5 mg/2 mL；1 mg/2 mL。</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用法和用量：一次1～2 mg，一日2次。吸入用布地奈德混悬液应经合适的雾化器给药。根据不同的雾化器 ，患者实际吸入的剂量为标示量的40%～60%。雾化时间和输出药量取决于流速、雾化器容积和药液容量。对大多数雾化器，适当的药液容量为2～4 mL</w:t>
      </w:r>
      <w:r w:rsidRPr="0014055E">
        <w:rPr>
          <w:rFonts w:asciiTheme="minorEastAsia" w:eastAsiaTheme="minorEastAsia" w:hAnsiTheme="minorEastAsia" w:hint="eastAsia"/>
          <w:sz w:val="24"/>
          <w:vertAlign w:val="superscript"/>
        </w:rPr>
        <w:t>[8]</w:t>
      </w:r>
      <w:r w:rsidRPr="0014055E">
        <w:rPr>
          <w:rFonts w:asciiTheme="minorEastAsia" w:eastAsiaTheme="minorEastAsia" w:hAnsiTheme="minorEastAsia" w:hint="eastAsia"/>
          <w:sz w:val="24"/>
        </w:rPr>
        <w:t>。</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不良反应：声嘶、溃疡、咽部疼痛不适、舌部和口腔刺激、口干、 咳嗽和口腔念珠菌病。如果发现口咽念珠菌病，可用适当的抗真菌药治疗，并继续使用布地奈德。让患者在每次吸入后漱口，可使念珠菌感染的发生率减至最低。通常患者对布地奈德的耐受性较好。大多数不良反应都很轻微，且为局部性。布地奈德引起的全身作用和口咽并发症与剂量有关。每日1.6 mg或更大剂量布地奈德且长期单独使用的患者中，有50%的患者出现类固醇过量的临床表现</w:t>
      </w:r>
      <w:r w:rsidRPr="0014055E">
        <w:rPr>
          <w:rFonts w:asciiTheme="minorEastAsia" w:eastAsiaTheme="minorEastAsia" w:hAnsiTheme="minorEastAsia" w:hint="eastAsia"/>
          <w:sz w:val="24"/>
          <w:vertAlign w:val="superscript"/>
        </w:rPr>
        <w:t>[8]</w:t>
      </w:r>
      <w:r w:rsidRPr="0014055E">
        <w:rPr>
          <w:rFonts w:asciiTheme="minorEastAsia" w:eastAsiaTheme="minorEastAsia" w:hAnsiTheme="minorEastAsia" w:hint="eastAsia"/>
          <w:sz w:val="24"/>
        </w:rPr>
        <w:t>。</w:t>
      </w:r>
    </w:p>
    <w:p w:rsidR="00BF48DF" w:rsidRPr="0014055E" w:rsidRDefault="00BF48DF" w:rsidP="0014055E">
      <w:pPr>
        <w:spacing w:line="440" w:lineRule="exact"/>
        <w:ind w:right="111" w:firstLineChars="200" w:firstLine="482"/>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b/>
          <w:bCs/>
          <w:sz w:val="24"/>
        </w:rPr>
        <w:t>注意</w:t>
      </w:r>
      <w:r w:rsidRPr="0014055E">
        <w:rPr>
          <w:rFonts w:asciiTheme="minorEastAsia" w:eastAsiaTheme="minorEastAsia" w:hAnsiTheme="minorEastAsia" w:hint="eastAsia"/>
          <w:sz w:val="24"/>
        </w:rPr>
        <w:t>：①单独应用布地奈德雾化吸入不能快速缓解气流受限。因此布地奈德不宜单独用于治疗AECOPD，需与支气管舒张剂等药物联合使用。②布地奈德雾化吸入可能会掩盖一些已有感染的症状，也可能在使用时诱发新的感染。对患有活动或静止期 肺结核病的患者或呼吸系统的真菌、细菌或病毒感染者需慎用。</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(2)丙酸氟替卡松：雾化吸入剂型尚未在中国上市。同布地奈德的大致等效剂量见表2。</w:t>
      </w:r>
    </w:p>
    <w:p w:rsidR="00BF48DF" w:rsidRPr="0014055E" w:rsidRDefault="00BF48DF" w:rsidP="00BF48DF">
      <w:pPr>
        <w:spacing w:line="480" w:lineRule="exact"/>
        <w:ind w:right="700" w:firstLineChars="200" w:firstLine="480"/>
        <w:contextualSpacing/>
        <w:jc w:val="center"/>
        <w:textAlignment w:val="center"/>
        <w:rPr>
          <w:rFonts w:asciiTheme="minorEastAsia" w:eastAsiaTheme="minorEastAsia" w:hAnsiTheme="minorEastAsia"/>
          <w:sz w:val="24"/>
        </w:rPr>
      </w:pPr>
      <w:r w:rsidRPr="0014055E">
        <w:rPr>
          <w:rFonts w:asciiTheme="minorEastAsia" w:eastAsiaTheme="minorEastAsia" w:hAnsiTheme="minorEastAsia"/>
          <w:sz w:val="24"/>
        </w:rPr>
        <w:t>表2 布地奈德与丙酸氟替卡松的大致等效剂量（μg）</w:t>
      </w:r>
    </w:p>
    <w:tbl>
      <w:tblPr>
        <w:tblW w:w="740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2178"/>
        <w:gridCol w:w="1742"/>
        <w:gridCol w:w="1742"/>
        <w:gridCol w:w="1742"/>
      </w:tblGrid>
      <w:tr w:rsidR="00BF48DF" w:rsidRPr="0014055E" w:rsidTr="0014055E">
        <w:trPr>
          <w:trHeight w:val="428"/>
          <w:jc w:val="center"/>
        </w:trPr>
        <w:tc>
          <w:tcPr>
            <w:tcW w:w="2178"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spacing w:line="270" w:lineRule="atLeast"/>
              <w:jc w:val="center"/>
              <w:rPr>
                <w:rFonts w:asciiTheme="minorEastAsia" w:eastAsiaTheme="minorEastAsia" w:hAnsiTheme="minorEastAsia"/>
                <w:b/>
                <w:color w:val="333333"/>
                <w:sz w:val="24"/>
              </w:rPr>
            </w:pPr>
            <w:r w:rsidRPr="0014055E">
              <w:rPr>
                <w:rFonts w:asciiTheme="minorEastAsia" w:eastAsiaTheme="minorEastAsia" w:hAnsiTheme="minorEastAsia"/>
                <w:b/>
                <w:color w:val="333333"/>
                <w:kern w:val="0"/>
                <w:sz w:val="24"/>
              </w:rPr>
              <w:t>药物</w:t>
            </w:r>
          </w:p>
        </w:tc>
        <w:tc>
          <w:tcPr>
            <w:tcW w:w="1742"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spacing w:line="270" w:lineRule="atLeast"/>
              <w:jc w:val="center"/>
              <w:rPr>
                <w:rFonts w:asciiTheme="minorEastAsia" w:eastAsiaTheme="minorEastAsia" w:hAnsiTheme="minorEastAsia"/>
                <w:b/>
                <w:color w:val="333333"/>
                <w:sz w:val="24"/>
              </w:rPr>
            </w:pPr>
            <w:r w:rsidRPr="0014055E">
              <w:rPr>
                <w:rFonts w:asciiTheme="minorEastAsia" w:eastAsiaTheme="minorEastAsia" w:hAnsiTheme="minorEastAsia"/>
                <w:b/>
                <w:color w:val="333333"/>
                <w:kern w:val="0"/>
                <w:sz w:val="24"/>
              </w:rPr>
              <w:t>低剂量</w:t>
            </w:r>
          </w:p>
        </w:tc>
        <w:tc>
          <w:tcPr>
            <w:tcW w:w="1742"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spacing w:line="270" w:lineRule="atLeast"/>
              <w:jc w:val="center"/>
              <w:rPr>
                <w:rFonts w:asciiTheme="minorEastAsia" w:eastAsiaTheme="minorEastAsia" w:hAnsiTheme="minorEastAsia"/>
                <w:b/>
                <w:color w:val="333333"/>
                <w:sz w:val="24"/>
              </w:rPr>
            </w:pPr>
            <w:r w:rsidRPr="0014055E">
              <w:rPr>
                <w:rFonts w:asciiTheme="minorEastAsia" w:eastAsiaTheme="minorEastAsia" w:hAnsiTheme="minorEastAsia"/>
                <w:b/>
                <w:color w:val="333333"/>
                <w:kern w:val="0"/>
                <w:sz w:val="24"/>
              </w:rPr>
              <w:t>中等剂量</w:t>
            </w:r>
          </w:p>
        </w:tc>
        <w:tc>
          <w:tcPr>
            <w:tcW w:w="1742"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spacing w:line="270" w:lineRule="atLeast"/>
              <w:jc w:val="center"/>
              <w:rPr>
                <w:rFonts w:asciiTheme="minorEastAsia" w:eastAsiaTheme="minorEastAsia" w:hAnsiTheme="minorEastAsia"/>
                <w:b/>
                <w:color w:val="333333"/>
                <w:sz w:val="24"/>
              </w:rPr>
            </w:pPr>
            <w:r w:rsidRPr="0014055E">
              <w:rPr>
                <w:rFonts w:asciiTheme="minorEastAsia" w:eastAsiaTheme="minorEastAsia" w:hAnsiTheme="minorEastAsia"/>
                <w:b/>
                <w:color w:val="333333"/>
                <w:kern w:val="0"/>
                <w:sz w:val="24"/>
              </w:rPr>
              <w:t>高剂量</w:t>
            </w:r>
          </w:p>
        </w:tc>
      </w:tr>
      <w:tr w:rsidR="00BF48DF" w:rsidRPr="0014055E" w:rsidTr="0014055E">
        <w:trPr>
          <w:jc w:val="center"/>
        </w:trPr>
        <w:tc>
          <w:tcPr>
            <w:tcW w:w="2178"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spacing w:line="270" w:lineRule="atLeast"/>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布地奈德混悬液</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spacing w:line="270" w:lineRule="atLeast"/>
              <w:jc w:val="center"/>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500～1000</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spacing w:line="270" w:lineRule="atLeast"/>
              <w:jc w:val="center"/>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1000～2000</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spacing w:line="270" w:lineRule="atLeast"/>
              <w:jc w:val="center"/>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2000～4000</w:t>
            </w:r>
          </w:p>
        </w:tc>
      </w:tr>
      <w:tr w:rsidR="00BF48DF" w:rsidRPr="0014055E" w:rsidTr="0014055E">
        <w:trPr>
          <w:jc w:val="center"/>
        </w:trPr>
        <w:tc>
          <w:tcPr>
            <w:tcW w:w="2178"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spacing w:line="270" w:lineRule="atLeast"/>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丙酸氟替卡松混悬液</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spacing w:line="270" w:lineRule="atLeast"/>
              <w:jc w:val="center"/>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250～500</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spacing w:line="270" w:lineRule="atLeast"/>
              <w:jc w:val="center"/>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500～1000</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spacing w:line="270" w:lineRule="atLeast"/>
              <w:jc w:val="center"/>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1000～2000</w:t>
            </w:r>
          </w:p>
        </w:tc>
      </w:tr>
    </w:tbl>
    <w:p w:rsidR="00BF48DF" w:rsidRPr="0014055E" w:rsidRDefault="00BF48DF" w:rsidP="00BF48DF">
      <w:pPr>
        <w:spacing w:line="480" w:lineRule="exact"/>
        <w:ind w:right="700"/>
        <w:contextualSpacing/>
        <w:jc w:val="center"/>
        <w:textAlignment w:val="center"/>
        <w:rPr>
          <w:rFonts w:asciiTheme="minorEastAsia" w:eastAsiaTheme="minorEastAsia" w:hAnsiTheme="minorEastAsia"/>
          <w:sz w:val="24"/>
        </w:rPr>
      </w:pPr>
    </w:p>
    <w:p w:rsidR="00BF48DF" w:rsidRPr="0014055E" w:rsidRDefault="00BF48DF" w:rsidP="0014055E">
      <w:pPr>
        <w:spacing w:before="200" w:line="440" w:lineRule="exact"/>
        <w:ind w:right="113"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(3)</w:t>
      </w:r>
      <w:r w:rsidRPr="0014055E">
        <w:rPr>
          <w:rFonts w:asciiTheme="minorEastAsia" w:eastAsiaTheme="minorEastAsia" w:hAnsiTheme="minorEastAsia"/>
          <w:sz w:val="24"/>
        </w:rPr>
        <w:t>地塞米松：一种人工合成的水溶性肾上腺糖皮质激素，进入体内后须经肝脏转化后在全身起作用。地塞米松结构上无亲脂性基团，水溶性较大，难以通过细胞膜与糖皮质激素受体结合而发挥治疗作用。由于雾化吸入的地塞米松与气道黏膜组织结合较少，导致肺内沉积率低，气道内滞留时间短，难以通过</w:t>
      </w:r>
      <w:r w:rsidRPr="0014055E">
        <w:rPr>
          <w:rFonts w:asciiTheme="minorEastAsia" w:eastAsiaTheme="minorEastAsia" w:hAnsiTheme="minorEastAsia"/>
          <w:sz w:val="24"/>
        </w:rPr>
        <w:lastRenderedPageBreak/>
        <w:t>吸入而发挥局部抗炎作用</w:t>
      </w:r>
      <w:r w:rsidRPr="0014055E">
        <w:rPr>
          <w:rFonts w:asciiTheme="minorEastAsia" w:eastAsiaTheme="minorEastAsia" w:hAnsiTheme="minorEastAsia"/>
          <w:sz w:val="24"/>
          <w:vertAlign w:val="superscript"/>
        </w:rPr>
        <w:t>[9]</w:t>
      </w:r>
      <w:r w:rsidRPr="0014055E">
        <w:rPr>
          <w:rFonts w:asciiTheme="minorEastAsia" w:eastAsiaTheme="minorEastAsia" w:hAnsiTheme="minorEastAsia"/>
          <w:sz w:val="24"/>
        </w:rPr>
        <w:t>。另外，由于其生物半衰期较长，在体内容易蓄积，对丘脑下部-垂体-肾上腺轴的抑制作用也增强，因此</w:t>
      </w:r>
      <w:r w:rsidRPr="0014055E">
        <w:rPr>
          <w:rFonts w:asciiTheme="minorEastAsia" w:eastAsiaTheme="minorEastAsia" w:hAnsiTheme="minorEastAsia"/>
          <w:b/>
          <w:bCs/>
          <w:sz w:val="24"/>
        </w:rPr>
        <w:t>不推荐使用</w:t>
      </w:r>
      <w:r w:rsidRPr="0014055E">
        <w:rPr>
          <w:rFonts w:asciiTheme="minorEastAsia" w:eastAsiaTheme="minorEastAsia" w:hAnsiTheme="minorEastAsia"/>
          <w:sz w:val="24"/>
        </w:rPr>
        <w:t>。</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2．支气管舒张剂</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支气管舒张剂是哮喘和COPD患者预防或缓解症状所必需的药物，而吸入治疗为首选的给药方式。反复给予吸入速效支气管舒张剂是缓解哮喘急性发作最主要的治疗措施之一，同时也是AECOPD的有效治疗方法</w:t>
      </w:r>
      <w:r w:rsidRPr="0014055E">
        <w:rPr>
          <w:rFonts w:asciiTheme="minorEastAsia" w:eastAsiaTheme="minorEastAsia" w:hAnsiTheme="minorEastAsia"/>
          <w:sz w:val="24"/>
          <w:vertAlign w:val="superscript"/>
        </w:rPr>
        <w:t>[6,7]</w:t>
      </w:r>
      <w:r w:rsidRPr="0014055E">
        <w:rPr>
          <w:rFonts w:asciiTheme="minorEastAsia" w:eastAsiaTheme="minorEastAsia" w:hAnsiTheme="minorEastAsia"/>
          <w:sz w:val="24"/>
        </w:rPr>
        <w:t>。</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w:t>
      </w:r>
      <w:r w:rsidRPr="0014055E">
        <w:rPr>
          <w:rFonts w:asciiTheme="minorEastAsia" w:eastAsiaTheme="minorEastAsia" w:hAnsiTheme="minorEastAsia"/>
          <w:sz w:val="24"/>
        </w:rPr>
        <w:t>速效β</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受体激动剂（简称SABA）：常用药物有沙丁胺醇 （salbutamol）和特布他林（terbutaline），前者松弛气道平滑肌作用强，通常在5 min内起效，疗效可维持4～6 h，是缓解哮喘急性发作症状的首选药物，也可用于运动性哮喘</w:t>
      </w:r>
      <w:r w:rsidRPr="0014055E">
        <w:rPr>
          <w:rFonts w:asciiTheme="minorEastAsia" w:eastAsiaTheme="minorEastAsia" w:hAnsiTheme="minorEastAsia"/>
          <w:sz w:val="24"/>
          <w:vertAlign w:val="superscript"/>
        </w:rPr>
        <w:t>[6]</w:t>
      </w:r>
      <w:r w:rsidRPr="0014055E">
        <w:rPr>
          <w:rFonts w:asciiTheme="minorEastAsia" w:eastAsiaTheme="minorEastAsia" w:hAnsiTheme="minorEastAsia"/>
          <w:sz w:val="24"/>
        </w:rPr>
        <w:t>。后者起效慢于沙丁胺醇，且其支气管舒张作用也相对较弱。</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制剂：吸入用硫酸沙丁胺醇溶液（Salbutamol Sulfate Solution for Inhalation）</w:t>
      </w:r>
      <w:r w:rsidRPr="0014055E">
        <w:rPr>
          <w:rFonts w:asciiTheme="minorEastAsia" w:eastAsiaTheme="minorEastAsia" w:hAnsiTheme="minorEastAsia"/>
          <w:sz w:val="24"/>
          <w:vertAlign w:val="superscript"/>
        </w:rPr>
        <w:t>[11]</w:t>
      </w:r>
      <w:r w:rsidRPr="0014055E">
        <w:rPr>
          <w:rFonts w:asciiTheme="minorEastAsia" w:eastAsiaTheme="minorEastAsia" w:hAnsiTheme="minorEastAsia"/>
          <w:sz w:val="24"/>
        </w:rPr>
        <w:t xml:space="preserve"> 。</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雾化溶液：5 mg/mL。</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用法和用量：雾化器雾化给药，切不可注射或口服。间歇性用法可每日重复4次。成人每次：0.5～1.0 mL（2.5～5.0 mg硫酸沙丁胺醇），应以注射用生理盐水稀释至2.0～2.5 mL。稀释后的溶液由患者通过适当的雾化器雾化吸入，直至不再有气雾产生为止。如喷雾器和驱动装置匹配得当，则喷雾可维持约10 min。本品可不经稀释而供间歇性使用，为此，将2.0 mL（10 mg硫酸沙丁胺醇）置入雾化器中，让患者吸入雾化的药液，至病情缓解，通常需3～5 min。</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制剂：硫酸特布他林雾化液（Terbutaline Sulphate Solution for Nebulization）</w:t>
      </w:r>
      <w:r w:rsidRPr="0014055E">
        <w:rPr>
          <w:rFonts w:asciiTheme="minorEastAsia" w:eastAsiaTheme="minorEastAsia" w:hAnsiTheme="minorEastAsia"/>
          <w:sz w:val="24"/>
          <w:vertAlign w:val="superscript"/>
        </w:rPr>
        <w:t>[11]</w:t>
      </w:r>
      <w:r w:rsidRPr="0014055E">
        <w:rPr>
          <w:rFonts w:asciiTheme="minorEastAsia" w:eastAsiaTheme="minorEastAsia" w:hAnsiTheme="minorEastAsia"/>
          <w:sz w:val="24"/>
        </w:rPr>
        <w:t>。</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雾化溶液：5.0 mg/2 mL。</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用法与用量：作为初始治疗，吸入性支气管舒张剂应按需用药，不必定时用药。体重＞20 kg：5.0 mg（1小瓶，2 mL）/次，24 h内最多用4次；体重＜20 kg：2.5 mg（半小瓶，1 mL）/次，24 h内最多用4次；如1整瓶药液未一次用完，可在雾化器中保存24 h</w:t>
      </w:r>
      <w:r w:rsidRPr="0014055E">
        <w:rPr>
          <w:rFonts w:asciiTheme="minorEastAsia" w:eastAsiaTheme="minorEastAsia" w:hAnsiTheme="minorEastAsia"/>
          <w:sz w:val="24"/>
          <w:vertAlign w:val="superscript"/>
        </w:rPr>
        <w:t>[12]</w:t>
      </w:r>
      <w:r w:rsidRPr="0014055E">
        <w:rPr>
          <w:rFonts w:asciiTheme="minorEastAsia" w:eastAsiaTheme="minorEastAsia" w:hAnsiTheme="minorEastAsia"/>
          <w:sz w:val="24"/>
        </w:rPr>
        <w:t>。</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不良反应及注意：</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①骨骼肌肉可能有轻微震颤现象，通常手部较为明显，属于使用β肾上腺素受体激动剂的常见不良反应，但肌肉痉挛症状十分罕见。</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②偶见有头痛的报告。</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③有些患者可能会有外周血管舒张及轻 微的代偿性心率加速的情况发生。</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lastRenderedPageBreak/>
        <w:t>④过敏反应包括血管神经性水肿、荨麻疹、支气管痉挛、低血压、虚脱等情况，十分罕有。</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⑤如吸入后出现支气管痉挛症状或原有症状加重，应即时停止雾化吸入，评估患者的状况及改用其他治疗。</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⑥吸入本药可能会引起口部和咽喉疼痛。</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⑦妊娠期间应慎用，只有当用此药对孕妇的益处高于对胎儿可能引致的危险时，方可考虑使用此药。使用本品的妇女产后乳液中可能渗有本品，因此，除非预期的益处高于可能引起的危险，否则以母乳哺育婴儿的妇女不应吸用本药。</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⑧通常不应与心得安等非选择性β受体阻断药物一同服用。</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w:t>
      </w:r>
      <w:r w:rsidRPr="0014055E">
        <w:rPr>
          <w:rFonts w:asciiTheme="minorEastAsia" w:eastAsiaTheme="minorEastAsia" w:hAnsiTheme="minorEastAsia"/>
          <w:sz w:val="24"/>
        </w:rPr>
        <w:t>肾上腺素、异丙肾上腺素：非选择性β受体激动剂，对心血管系统不良反应大，一般除过敏性休克外，不推荐用于哮喘和COPD的治疗。</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(3)</w:t>
      </w:r>
      <w:r w:rsidRPr="0014055E">
        <w:rPr>
          <w:rFonts w:asciiTheme="minorEastAsia" w:eastAsiaTheme="minorEastAsia" w:hAnsiTheme="minorEastAsia"/>
          <w:sz w:val="24"/>
        </w:rPr>
        <w:t>短效抗胆碱能药物（简称SAMA）：常用药物如异丙托溴铵，其舒张支气管的作用比β</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受体激动剂弱，起效也较慢，但持续时间更为长久。</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制剂：异丙托溴铵雾化吸入溶液（Ipratropium Bromide Solution for Inhalation）</w:t>
      </w:r>
      <w:r w:rsidRPr="0014055E">
        <w:rPr>
          <w:rFonts w:asciiTheme="minorEastAsia" w:eastAsiaTheme="minorEastAsia" w:hAnsiTheme="minorEastAsia"/>
          <w:sz w:val="24"/>
          <w:vertAlign w:val="superscript"/>
        </w:rPr>
        <w:t>[13]</w:t>
      </w:r>
      <w:r w:rsidRPr="0014055E">
        <w:rPr>
          <w:rFonts w:asciiTheme="minorEastAsia" w:eastAsiaTheme="minorEastAsia" w:hAnsiTheme="minorEastAsia"/>
          <w:sz w:val="24"/>
        </w:rPr>
        <w:t>。</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雾化溶液：500μg/2 mL；250μg/2 mL。</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用法和用量：异丙托溴铵雾化吸入溶液只能通过合适的雾化装置吸入，不能口服或注射。首先准备雾化器以加入雾化吸入液。将小瓶中的药液挤入雾化器药皿中。安装好雾化器，按规定使用。吸入用异丙托溴铵溶液可使用普通的雾化吸入器。在有给氧设施情况下，吸入雾化液最好在以每分钟6～8 L的氧流量的条件下给予雾化吸入。用量应按患者个体需要做适量调节；通常成人每次吸入500μg/2 mL。</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不良反应及注意：</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①常见的非呼吸系统的不良反应为头痛、恶心和口干。</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②心动过速、心悸、眼部调节障碍、胃肠动力障碍和尿潴留等抗胆碱能不良反应少见并且可逆，但对已有尿道梗阻的患者其尿潴留危险性增高。</w:t>
      </w:r>
    </w:p>
    <w:p w:rsidR="00BF48DF" w:rsidRPr="0014055E" w:rsidRDefault="00BF48DF" w:rsidP="0014055E">
      <w:pPr>
        <w:spacing w:line="440" w:lineRule="exact"/>
        <w:ind w:right="111" w:firstLineChars="197" w:firstLine="473"/>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③眼部的不良反应有瞳孔扩大、眼压增高，闭角型青光眼患者慎用。</w:t>
      </w:r>
    </w:p>
    <w:p w:rsidR="00BF48DF" w:rsidRPr="0014055E" w:rsidRDefault="00BF48DF" w:rsidP="0014055E">
      <w:pPr>
        <w:spacing w:line="440" w:lineRule="exact"/>
        <w:ind w:right="111" w:firstLineChars="197" w:firstLine="473"/>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④和其他吸入性的支气管舒张剂一样，有时可能引起咳嗽、局部刺激，极少情况下出现吸入刺激产生的支气管痉挛。</w:t>
      </w:r>
    </w:p>
    <w:p w:rsidR="00BF48DF" w:rsidRPr="0014055E" w:rsidRDefault="00BF48DF" w:rsidP="0014055E">
      <w:pPr>
        <w:spacing w:line="440" w:lineRule="exact"/>
        <w:ind w:right="111" w:firstLineChars="198" w:firstLine="475"/>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⑤变态反应如皮疹、舌、唇、和面部血管性水肿、荨麻疹、喉痉挛和过敏</w:t>
      </w:r>
      <w:r w:rsidRPr="0014055E">
        <w:rPr>
          <w:rFonts w:asciiTheme="minorEastAsia" w:eastAsiaTheme="minorEastAsia" w:hAnsiTheme="minorEastAsia" w:hint="eastAsia"/>
          <w:sz w:val="24"/>
        </w:rPr>
        <w:lastRenderedPageBreak/>
        <w:t>反应有报道。</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⑥前列腺增生或膀胱癌颈部梗阻的患者应慎用</w:t>
      </w:r>
      <w:r w:rsidRPr="0014055E">
        <w:rPr>
          <w:rFonts w:asciiTheme="minorEastAsia" w:eastAsiaTheme="minorEastAsia" w:hAnsiTheme="minorEastAsia" w:hint="eastAsia"/>
          <w:sz w:val="24"/>
          <w:vertAlign w:val="superscript"/>
        </w:rPr>
        <w:t>[13]</w:t>
      </w:r>
      <w:r w:rsidRPr="0014055E">
        <w:rPr>
          <w:rFonts w:asciiTheme="minorEastAsia" w:eastAsiaTheme="minorEastAsia" w:hAnsiTheme="minorEastAsia" w:hint="eastAsia"/>
          <w:sz w:val="24"/>
        </w:rPr>
        <w:t>。</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(4)复方异丙托溴铵溶液雾化溶液（2.5 mL）</w:t>
      </w:r>
      <w:r w:rsidRPr="0014055E">
        <w:rPr>
          <w:rFonts w:asciiTheme="minorEastAsia" w:eastAsiaTheme="minorEastAsia" w:hAnsiTheme="minorEastAsia" w:hint="eastAsia"/>
          <w:sz w:val="24"/>
          <w:vertAlign w:val="superscript"/>
        </w:rPr>
        <w:t>[14]</w:t>
      </w:r>
      <w:r w:rsidRPr="0014055E">
        <w:rPr>
          <w:rFonts w:asciiTheme="minorEastAsia" w:eastAsiaTheme="minorEastAsia" w:hAnsiTheme="minorEastAsia" w:hint="eastAsia"/>
          <w:sz w:val="24"/>
        </w:rPr>
        <w:t>：含有异丙托溴铵0.5 mg和硫酸沙丁胺醇3.0 mg，同时应用</w:t>
      </w:r>
      <w:r w:rsidRPr="0014055E">
        <w:rPr>
          <w:rFonts w:asciiTheme="minorEastAsia" w:eastAsiaTheme="minorEastAsia" w:hAnsiTheme="minorEastAsia"/>
          <w:sz w:val="24"/>
        </w:rPr>
        <w:t>β</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受体激动剂和抗胆碱能药物，其支气管舒张疗效有叠加效应。</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制剂：吸入用复方异丙托溴铵溶液</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雾化溶液：2.5 mL；含有异丙托溴铵0.5 mg和硫酸沙丁胺醇3.0 mg（相当于沙丁胺醇碱2.5 mg）。</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用法和用量：通过合适的雾化器或间歇正压通气机给药。适用于成人（包括老年人）和12岁以上的青少年。急性发作期：大部分情况下2.5 mL的治疗剂量能缓解症状。对于严重的病例2.5 mL的治疗剂量不能缓 解症状时，可使用2×2.5 mL的药物剂量进行治疗。维持治疗期：每日3～4次，每次使用2.5 mL药物剂量即可。</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不良反应及注意：与上述β受体激动剂药物和抗胆碱能药物相同。</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3．黏液溶解剂</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尽管少数COPD患者使用黏液溶解剂雾化吸入可获益，但整体而言，疗效并不显著，因此当前未被推荐为COPD常规用药</w:t>
      </w:r>
      <w:r w:rsidRPr="0014055E">
        <w:rPr>
          <w:rFonts w:asciiTheme="minorEastAsia" w:eastAsiaTheme="minorEastAsia" w:hAnsiTheme="minorEastAsia" w:hint="eastAsia"/>
          <w:sz w:val="24"/>
          <w:vertAlign w:val="superscript"/>
        </w:rPr>
        <w:t>[7]</w:t>
      </w:r>
      <w:r w:rsidRPr="0014055E">
        <w:rPr>
          <w:rFonts w:asciiTheme="minorEastAsia" w:eastAsiaTheme="minorEastAsia" w:hAnsiTheme="minorEastAsia" w:hint="eastAsia"/>
          <w:sz w:val="24"/>
        </w:rPr>
        <w:t>。吸入给药有可能加重气道高反应性。</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w:t>
      </w:r>
      <w:r w:rsidRPr="0014055E">
        <w:rPr>
          <w:rFonts w:asciiTheme="minorEastAsia" w:eastAsiaTheme="minorEastAsia" w:hAnsiTheme="minorEastAsia"/>
          <w:sz w:val="24"/>
        </w:rPr>
        <w:t>α</w:t>
      </w:r>
      <w:r w:rsidRPr="0014055E">
        <w:rPr>
          <w:rFonts w:asciiTheme="minorEastAsia" w:eastAsiaTheme="minorEastAsia" w:hAnsiTheme="minorEastAsia" w:hint="eastAsia"/>
          <w:sz w:val="24"/>
        </w:rPr>
        <w:t>-糜蛋白酶：多肽酶，没有证据表明可以吸入中小气道产生治疗作用，此外也没有配伍相关的药理学研究数据，禁用超声方式进行雾化治疗。</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(2)盐酸氨溴索：该药产品说明书未推荐雾化吸入使用</w:t>
      </w:r>
      <w:r w:rsidRPr="0014055E">
        <w:rPr>
          <w:rFonts w:asciiTheme="minorEastAsia" w:eastAsiaTheme="minorEastAsia" w:hAnsiTheme="minorEastAsia" w:hint="eastAsia"/>
          <w:sz w:val="24"/>
          <w:vertAlign w:val="superscript"/>
        </w:rPr>
        <w:t>[15]</w:t>
      </w:r>
      <w:r w:rsidRPr="0014055E">
        <w:rPr>
          <w:rFonts w:asciiTheme="minorEastAsia" w:eastAsiaTheme="minorEastAsia" w:hAnsiTheme="minorEastAsia" w:hint="eastAsia"/>
          <w:sz w:val="24"/>
        </w:rPr>
        <w:t>，但在我国已有较多的临床应用静脉制剂进行雾化治疗的经验报道</w:t>
      </w:r>
      <w:r w:rsidRPr="0014055E">
        <w:rPr>
          <w:rFonts w:asciiTheme="minorEastAsia" w:eastAsiaTheme="minorEastAsia" w:hAnsiTheme="minorEastAsia" w:hint="eastAsia"/>
          <w:sz w:val="24"/>
          <w:vertAlign w:val="superscript"/>
        </w:rPr>
        <w:t>[16, 17]</w:t>
      </w:r>
      <w:r w:rsidRPr="0014055E">
        <w:rPr>
          <w:rFonts w:asciiTheme="minorEastAsia" w:eastAsiaTheme="minorEastAsia" w:hAnsiTheme="minorEastAsia" w:hint="eastAsia"/>
          <w:sz w:val="24"/>
        </w:rPr>
        <w:t>。目前国外已有雾化吸入剂型。鉴于超声雾化可使雾化液体加热至蛋白酶变性，不推荐用超声雾化给药方式。</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4．抗菌药物</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宜尽量避免抗菌药物的局部应用，抗菌药物在皮肤黏膜局部应用很少被吸收，在感染部位不能达到有效浓度，且易于引起过敏反应或导致耐药菌产生</w:t>
      </w:r>
      <w:r w:rsidRPr="0014055E">
        <w:rPr>
          <w:rFonts w:asciiTheme="minorEastAsia" w:eastAsiaTheme="minorEastAsia" w:hAnsiTheme="minorEastAsia" w:hint="eastAsia"/>
          <w:sz w:val="24"/>
          <w:vertAlign w:val="superscript"/>
        </w:rPr>
        <w:t>[18]</w:t>
      </w:r>
      <w:r w:rsidRPr="0014055E">
        <w:rPr>
          <w:rFonts w:asciiTheme="minorEastAsia" w:eastAsiaTheme="minorEastAsia" w:hAnsiTheme="minorEastAsia" w:hint="eastAsia"/>
          <w:sz w:val="24"/>
        </w:rPr>
        <w:t>。迄今为止，我国尚无专供雾化吸入的制剂，临床以及大多数研究均以静脉制剂替代。而静脉制剂并不完全适用于雾化给药，静脉制剂中含有防腐剂，如酚、亚硫酸盐等，可诱发支气管哮喘。</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(1)庆大霉素：在我国临床应用较多，但其疗效及安全性尚缺乏充分的循证</w:t>
      </w:r>
      <w:r w:rsidRPr="0014055E">
        <w:rPr>
          <w:rFonts w:asciiTheme="minorEastAsia" w:eastAsiaTheme="minorEastAsia" w:hAnsiTheme="minorEastAsia" w:hint="eastAsia"/>
          <w:sz w:val="24"/>
        </w:rPr>
        <w:lastRenderedPageBreak/>
        <w:t>医学证据。</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(2)两性霉素B：气溶吸入时成人每次5～10 mg，用灭菌注射用水溶解成0.2%～0.3%溶液应用；超声雾化吸入时本品浓度为0.01%～0.02%，每日吸入2～3次，每次吸入5～10 mL</w:t>
      </w:r>
      <w:r w:rsidRPr="0014055E">
        <w:rPr>
          <w:rFonts w:asciiTheme="minorEastAsia" w:eastAsiaTheme="minorEastAsia" w:hAnsiTheme="minorEastAsia" w:hint="eastAsia"/>
          <w:sz w:val="24"/>
          <w:vertAlign w:val="superscript"/>
        </w:rPr>
        <w:t>[19]</w:t>
      </w:r>
      <w:r w:rsidRPr="0014055E">
        <w:rPr>
          <w:rFonts w:asciiTheme="minorEastAsia" w:eastAsiaTheme="minorEastAsia" w:hAnsiTheme="minorEastAsia" w:hint="eastAsia"/>
          <w:sz w:val="24"/>
        </w:rPr>
        <w:t>。目前，除妥布霉素（Novartis: TOBI）被FDA批准用于雾化吸入治疗囊性纤维化疾病</w:t>
      </w:r>
      <w:r w:rsidRPr="0014055E">
        <w:rPr>
          <w:rFonts w:asciiTheme="minorEastAsia" w:eastAsiaTheme="minorEastAsia" w:hAnsiTheme="minorEastAsia" w:hint="eastAsia"/>
          <w:sz w:val="24"/>
          <w:vertAlign w:val="superscript"/>
        </w:rPr>
        <w:t>[20]</w:t>
      </w:r>
      <w:r w:rsidRPr="0014055E">
        <w:rPr>
          <w:rFonts w:asciiTheme="minorEastAsia" w:eastAsiaTheme="minorEastAsia" w:hAnsiTheme="minorEastAsia" w:hint="eastAsia"/>
          <w:sz w:val="24"/>
        </w:rPr>
        <w:t>，其余药物的安全性均未获得确认</w:t>
      </w:r>
      <w:r w:rsidRPr="0014055E">
        <w:rPr>
          <w:rFonts w:asciiTheme="minorEastAsia" w:eastAsiaTheme="minorEastAsia" w:hAnsiTheme="minorEastAsia" w:hint="eastAsia"/>
          <w:sz w:val="24"/>
          <w:vertAlign w:val="superscript"/>
        </w:rPr>
        <w:t>[21]</w:t>
      </w:r>
      <w:r w:rsidRPr="0014055E">
        <w:rPr>
          <w:rFonts w:asciiTheme="minorEastAsia" w:eastAsiaTheme="minorEastAsia" w:hAnsiTheme="minorEastAsia" w:hint="eastAsia"/>
          <w:sz w:val="24"/>
        </w:rPr>
        <w:t>。</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5．其他</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(1)茶碱：通常作为静脉推注使用。有一定的支气管舒张作用，但较SABA弱，在成人哮喘重度急性发作中，尚无研究证实其作为</w:t>
      </w:r>
      <w:r w:rsidRPr="0014055E">
        <w:rPr>
          <w:rFonts w:asciiTheme="minorEastAsia" w:eastAsiaTheme="minorEastAsia" w:hAnsiTheme="minorEastAsia"/>
          <w:sz w:val="24"/>
        </w:rPr>
        <w:t>β</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受体</w:t>
      </w:r>
      <w:r w:rsidRPr="0014055E">
        <w:rPr>
          <w:rFonts w:asciiTheme="minorEastAsia" w:eastAsiaTheme="minorEastAsia" w:hAnsiTheme="minorEastAsia" w:hint="eastAsia"/>
          <w:sz w:val="24"/>
        </w:rPr>
        <w:t>激动剂的添加治疗有额外的益处</w:t>
      </w:r>
      <w:r w:rsidRPr="0014055E">
        <w:rPr>
          <w:rFonts w:asciiTheme="minorEastAsia" w:eastAsiaTheme="minorEastAsia" w:hAnsiTheme="minorEastAsia" w:hint="eastAsia"/>
          <w:sz w:val="24"/>
          <w:vertAlign w:val="superscript"/>
        </w:rPr>
        <w:t>[6]</w:t>
      </w:r>
      <w:r w:rsidRPr="0014055E">
        <w:rPr>
          <w:rFonts w:asciiTheme="minorEastAsia" w:eastAsiaTheme="minorEastAsia" w:hAnsiTheme="minorEastAsia" w:hint="eastAsia"/>
          <w:sz w:val="24"/>
        </w:rPr>
        <w:t>。由于其价格低廉，在安全的剂量范围内，茶碱仍是我国目前治疗COPD急性加重的主要药物之一。茶碱对气道上皮有刺激作用，故临床上不推荐用于雾化吸入治疗。</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(2)中成药注射液：雾化吸入的临床应用经验以及研究均不足，疗效的可靠性以及安全性均有待验证，不推荐使用。</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三、常见疾病吸入药物及剂量推荐</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气流受限疾病是雾化吸入治疗的首选适应证，尤其是AECOPD和哮喘急性发作。对非急性加重的哮喘和COPD，首先推荐定量气雾剂（MDI）或干粉吸入剂（DPI）等方法。部分病情较重需要较大剂量药物的患者，以及不能正确使用吸入装置的患者如婴幼儿，也可考虑通过雾化吸入给药</w:t>
      </w:r>
      <w:r w:rsidRPr="0014055E">
        <w:rPr>
          <w:rFonts w:asciiTheme="minorEastAsia" w:eastAsiaTheme="minorEastAsia" w:hAnsiTheme="minorEastAsia" w:hint="eastAsia"/>
          <w:sz w:val="24"/>
          <w:vertAlign w:val="superscript"/>
        </w:rPr>
        <w:t>[5]</w:t>
      </w:r>
      <w:r w:rsidRPr="0014055E">
        <w:rPr>
          <w:rFonts w:asciiTheme="minorEastAsia" w:eastAsiaTheme="minorEastAsia" w:hAnsiTheme="minorEastAsia" w:hint="eastAsia"/>
          <w:sz w:val="24"/>
        </w:rPr>
        <w:t>。</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1．哮喘急性发作雾化吸入治疗方案推荐（表3）</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研究显示，哮喘急性发作时应规律地给予SABA吸入治疗</w:t>
      </w:r>
      <w:r w:rsidRPr="0014055E">
        <w:rPr>
          <w:rFonts w:asciiTheme="minorEastAsia" w:eastAsiaTheme="minorEastAsia" w:hAnsiTheme="minorEastAsia" w:hint="eastAsia"/>
          <w:sz w:val="24"/>
          <w:vertAlign w:val="superscript"/>
        </w:rPr>
        <w:t>[6]</w:t>
      </w:r>
      <w:r w:rsidRPr="0014055E">
        <w:rPr>
          <w:rFonts w:asciiTheme="minorEastAsia" w:eastAsiaTheme="minorEastAsia" w:hAnsiTheme="minorEastAsia" w:hint="eastAsia"/>
          <w:sz w:val="24"/>
        </w:rPr>
        <w:t>。对哮喘急性发作住院治疗患者推荐持续雾化吸入SABA后按需间断给予雾化吸入治疗，在无条件持续雾化吸入时，可直接间断雾化吸入治疗。</w:t>
      </w:r>
    </w:p>
    <w:p w:rsidR="00BF48DF" w:rsidRPr="0014055E" w:rsidRDefault="00BF48DF" w:rsidP="00BF48DF">
      <w:pPr>
        <w:spacing w:line="480" w:lineRule="exact"/>
        <w:ind w:right="700" w:firstLineChars="300" w:firstLine="720"/>
        <w:contextualSpacing/>
        <w:jc w:val="center"/>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表3 哮喘急性发作雾化吸入治疗方案推荐</w:t>
      </w:r>
    </w:p>
    <w:tbl>
      <w:tblPr>
        <w:tblW w:w="7960" w:type="dxa"/>
        <w:jc w:val="center"/>
        <w:tblInd w:w="62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579"/>
        <w:gridCol w:w="2935"/>
        <w:gridCol w:w="3446"/>
      </w:tblGrid>
      <w:tr w:rsidR="00BF48DF" w:rsidRPr="0014055E" w:rsidTr="0014055E">
        <w:trPr>
          <w:jc w:val="center"/>
        </w:trPr>
        <w:tc>
          <w:tcPr>
            <w:tcW w:w="1579"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adjustRightInd w:val="0"/>
              <w:snapToGrid w:val="0"/>
              <w:spacing w:line="360" w:lineRule="auto"/>
              <w:jc w:val="center"/>
              <w:rPr>
                <w:rFonts w:asciiTheme="minorEastAsia" w:eastAsiaTheme="minorEastAsia" w:hAnsiTheme="minorEastAsia"/>
                <w:b/>
                <w:color w:val="333333"/>
                <w:sz w:val="24"/>
              </w:rPr>
            </w:pPr>
            <w:r w:rsidRPr="0014055E">
              <w:rPr>
                <w:rFonts w:asciiTheme="minorEastAsia" w:eastAsiaTheme="minorEastAsia" w:hAnsiTheme="minorEastAsia"/>
                <w:b/>
                <w:color w:val="333333"/>
                <w:kern w:val="0"/>
                <w:sz w:val="24"/>
              </w:rPr>
              <w:t>主要症状</w:t>
            </w:r>
          </w:p>
        </w:tc>
        <w:tc>
          <w:tcPr>
            <w:tcW w:w="6381" w:type="dxa"/>
            <w:gridSpan w:val="2"/>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adjustRightInd w:val="0"/>
              <w:snapToGrid w:val="0"/>
              <w:spacing w:line="360" w:lineRule="auto"/>
              <w:jc w:val="center"/>
              <w:rPr>
                <w:rFonts w:asciiTheme="minorEastAsia" w:eastAsiaTheme="minorEastAsia" w:hAnsiTheme="minorEastAsia"/>
                <w:b/>
                <w:color w:val="333333"/>
                <w:sz w:val="24"/>
              </w:rPr>
            </w:pPr>
            <w:r w:rsidRPr="0014055E">
              <w:rPr>
                <w:rFonts w:asciiTheme="minorEastAsia" w:eastAsiaTheme="minorEastAsia" w:hAnsiTheme="minorEastAsia"/>
                <w:b/>
                <w:color w:val="333333"/>
                <w:kern w:val="0"/>
                <w:sz w:val="24"/>
              </w:rPr>
              <w:t>雾化方案</w:t>
            </w:r>
          </w:p>
        </w:tc>
      </w:tr>
      <w:tr w:rsidR="00BF48DF" w:rsidRPr="0014055E" w:rsidTr="0014055E">
        <w:trPr>
          <w:trHeight w:val="933"/>
          <w:jc w:val="center"/>
        </w:trPr>
        <w:tc>
          <w:tcPr>
            <w:tcW w:w="1579"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呼吸困难</w:t>
            </w:r>
          </w:p>
        </w:tc>
        <w:tc>
          <w:tcPr>
            <w:tcW w:w="2935"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●SABA 持续雾化吸入1 h</w:t>
            </w:r>
          </w:p>
          <w:p w:rsidR="00BF48DF" w:rsidRPr="0014055E" w:rsidRDefault="00BF48DF" w:rsidP="0014055E">
            <w:pPr>
              <w:pStyle w:val="a5"/>
              <w:widowControl/>
              <w:adjustRightInd w:val="0"/>
              <w:snapToGrid w:val="0"/>
              <w:spacing w:before="0" w:beforeAutospacing="0" w:after="0" w:afterAutospacing="0" w:line="360" w:lineRule="auto"/>
              <w:rPr>
                <w:rFonts w:asciiTheme="minorEastAsia" w:eastAsiaTheme="minorEastAsia" w:hAnsiTheme="minorEastAsia"/>
              </w:rPr>
            </w:pPr>
            <w:r w:rsidRPr="0014055E">
              <w:rPr>
                <w:rFonts w:asciiTheme="minorEastAsia" w:eastAsiaTheme="minorEastAsia" w:hAnsiTheme="minorEastAsia"/>
                <w:color w:val="333333"/>
              </w:rPr>
              <w:t>●糖皮质激素</w:t>
            </w:r>
          </w:p>
        </w:tc>
        <w:tc>
          <w:tcPr>
            <w:tcW w:w="344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1 h后症状不能缓解添加 SAMA</w:t>
            </w:r>
          </w:p>
        </w:tc>
      </w:tr>
    </w:tbl>
    <w:p w:rsidR="00BF48DF" w:rsidRPr="0014055E" w:rsidRDefault="00BF48DF" w:rsidP="0014055E">
      <w:pPr>
        <w:spacing w:line="480" w:lineRule="exact"/>
        <w:ind w:right="700" w:firstLineChars="200" w:firstLine="480"/>
        <w:contextualSpacing/>
        <w:jc w:val="left"/>
        <w:textAlignment w:val="center"/>
        <w:rPr>
          <w:rFonts w:asciiTheme="minorEastAsia" w:eastAsiaTheme="minorEastAsia" w:hAnsiTheme="minorEastAsia"/>
          <w:sz w:val="24"/>
        </w:rPr>
      </w:pP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与单药治疗相比，在重度哮喘急性发作时，联合SABA和SAMA治疗可更好改善肺功能，降低住院率</w:t>
      </w:r>
      <w:r w:rsidRPr="0014055E">
        <w:rPr>
          <w:rFonts w:asciiTheme="minorEastAsia" w:eastAsiaTheme="minorEastAsia" w:hAnsiTheme="minorEastAsia"/>
          <w:sz w:val="24"/>
          <w:vertAlign w:val="superscript"/>
        </w:rPr>
        <w:t>[22]</w:t>
      </w:r>
      <w:r w:rsidRPr="0014055E">
        <w:rPr>
          <w:rFonts w:asciiTheme="minorEastAsia" w:eastAsiaTheme="minorEastAsia" w:hAnsiTheme="minorEastAsia"/>
          <w:sz w:val="24"/>
        </w:rPr>
        <w:t>；但在轻、中度哮喘发作时，联合SABA与SAMA治疗是否可以获得优于SABA单药治疗的临床疗效，尚存在争议，联用有可能导致过度治疗和经济上的浪费</w:t>
      </w:r>
      <w:r w:rsidRPr="0014055E">
        <w:rPr>
          <w:rFonts w:asciiTheme="minorEastAsia" w:eastAsiaTheme="minorEastAsia" w:hAnsiTheme="minorEastAsia"/>
          <w:sz w:val="24"/>
          <w:vertAlign w:val="superscript"/>
        </w:rPr>
        <w:t>[23]</w:t>
      </w:r>
      <w:r w:rsidRPr="0014055E">
        <w:rPr>
          <w:rFonts w:asciiTheme="minorEastAsia" w:eastAsiaTheme="minorEastAsia" w:hAnsiTheme="minorEastAsia"/>
          <w:sz w:val="24"/>
        </w:rPr>
        <w:t>；尤其在住院患者中，并没有发现联合SABA与SAMA</w:t>
      </w:r>
      <w:r w:rsidRPr="0014055E">
        <w:rPr>
          <w:rFonts w:asciiTheme="minorEastAsia" w:eastAsiaTheme="minorEastAsia" w:hAnsiTheme="minorEastAsia"/>
          <w:sz w:val="24"/>
        </w:rPr>
        <w:lastRenderedPageBreak/>
        <w:t>治疗比SABA单药治疗有更加显著的临床疗效</w:t>
      </w:r>
      <w:r w:rsidRPr="0014055E">
        <w:rPr>
          <w:rFonts w:asciiTheme="minorEastAsia" w:eastAsiaTheme="minorEastAsia" w:hAnsiTheme="minorEastAsia"/>
          <w:sz w:val="24"/>
          <w:vertAlign w:val="superscript"/>
        </w:rPr>
        <w:t>[22]</w:t>
      </w:r>
      <w:r w:rsidRPr="0014055E">
        <w:rPr>
          <w:rFonts w:asciiTheme="minorEastAsia" w:eastAsiaTheme="minorEastAsia" w:hAnsiTheme="minorEastAsia"/>
          <w:sz w:val="24"/>
        </w:rPr>
        <w:t>。因此，对于轻中度哮喘急性发作，首选SABA单药雾化吸入治疗，治疗效果不佳时，再考虑添加SAMA联合雾化吸入治疗。</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哮喘急性发作时，可联合雾化吸入支气管舒张剂和糖皮质激素治疗。有研究显示，与单纯吸入沙丁胺醇相比，同时吸入高剂量糖皮质激素，具有更好的支气管舒张作用。与添加全身糖皮质激素相比，添加吸入糖皮质激素者住院率更低，尤其对哮喘重度急性发作患者</w:t>
      </w:r>
      <w:r w:rsidRPr="0014055E">
        <w:rPr>
          <w:rFonts w:asciiTheme="minorEastAsia" w:eastAsiaTheme="minorEastAsia" w:hAnsiTheme="minorEastAsia"/>
          <w:sz w:val="24"/>
          <w:vertAlign w:val="superscript"/>
        </w:rPr>
        <w:t>[6]</w:t>
      </w:r>
      <w:r w:rsidRPr="0014055E">
        <w:rPr>
          <w:rFonts w:asciiTheme="minorEastAsia" w:eastAsiaTheme="minorEastAsia" w:hAnsiTheme="minorEastAsia"/>
          <w:sz w:val="24"/>
        </w:rPr>
        <w:t>。另有研究显示，急诊室治疗的成人哮喘急性发作患者，在雾化吸入支气管舒张剂的基础上，联合雾化吸入糖皮质激素，如丙酸氟替卡松等，较全身使用泼尼松龙能更快改善呼气峰流量（PEF）和呼吸困难症状，且能够缩短留观时间</w:t>
      </w:r>
      <w:r w:rsidRPr="0014055E">
        <w:rPr>
          <w:rFonts w:asciiTheme="minorEastAsia" w:eastAsiaTheme="minorEastAsia" w:hAnsiTheme="minorEastAsia"/>
          <w:sz w:val="24"/>
          <w:vertAlign w:val="superscript"/>
        </w:rPr>
        <w:t>[24]</w:t>
      </w:r>
      <w:r w:rsidRPr="0014055E">
        <w:rPr>
          <w:rFonts w:asciiTheme="minorEastAsia" w:eastAsiaTheme="minorEastAsia" w:hAnsiTheme="minorEastAsia"/>
          <w:sz w:val="24"/>
        </w:rPr>
        <w:t>。</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2</w:t>
      </w:r>
      <w:r w:rsidRPr="0014055E">
        <w:rPr>
          <w:rFonts w:asciiTheme="minorEastAsia" w:eastAsiaTheme="minorEastAsia" w:hAnsiTheme="minorEastAsia" w:hint="eastAsia"/>
          <w:sz w:val="24"/>
        </w:rPr>
        <w:t>．</w:t>
      </w:r>
      <w:r w:rsidRPr="0014055E">
        <w:rPr>
          <w:rFonts w:asciiTheme="minorEastAsia" w:eastAsiaTheme="minorEastAsia" w:hAnsiTheme="minorEastAsia"/>
          <w:sz w:val="24"/>
        </w:rPr>
        <w:t>AECOPD雾化吸入治疗方案推荐</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GOLD颁布的慢性阻塞性肺疾病诊断、处理和预防全球策略（2011年修订版）指出：单一吸入短效β</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激动剂，或短效β</w:t>
      </w:r>
      <w:r w:rsidRPr="0014055E">
        <w:rPr>
          <w:rFonts w:asciiTheme="minorEastAsia" w:eastAsiaTheme="minorEastAsia" w:hAnsiTheme="minorEastAsia"/>
          <w:sz w:val="24"/>
          <w:vertAlign w:val="subscript"/>
        </w:rPr>
        <w:t>2</w:t>
      </w:r>
      <w:r w:rsidRPr="0014055E">
        <w:rPr>
          <w:rFonts w:asciiTheme="minorEastAsia" w:eastAsiaTheme="minorEastAsia" w:hAnsiTheme="minorEastAsia"/>
          <w:sz w:val="24"/>
        </w:rPr>
        <w:t>激动剂和短效抗胆碱能药物联合吸入，是COPD急性加重时优先选择的支气管舒张剂。这些药物可以改善症状和FEV1，使用MDI和雾化吸入没有区别，但后者可能更适合于较重的患者</w:t>
      </w:r>
      <w:r w:rsidRPr="0014055E">
        <w:rPr>
          <w:rFonts w:asciiTheme="minorEastAsia" w:eastAsiaTheme="minorEastAsia" w:hAnsiTheme="minorEastAsia"/>
          <w:sz w:val="24"/>
          <w:vertAlign w:val="superscript"/>
        </w:rPr>
        <w:t>[7]</w:t>
      </w:r>
      <w:r w:rsidRPr="0014055E">
        <w:rPr>
          <w:rFonts w:asciiTheme="minorEastAsia" w:eastAsiaTheme="minorEastAsia" w:hAnsiTheme="minorEastAsia"/>
          <w:sz w:val="24"/>
        </w:rPr>
        <w:t>。</w:t>
      </w:r>
    </w:p>
    <w:p w:rsidR="00BF48DF" w:rsidRPr="0014055E" w:rsidRDefault="00BF48DF" w:rsidP="0014055E">
      <w:pPr>
        <w:tabs>
          <w:tab w:val="left" w:pos="8320"/>
        </w:tabs>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对于痰液较多的AECOPD患者，吸入SABA与黏液溶解剂联用，具有协同排痰的作用。前者（如沙丁胺醇）舒张气管，使痰液易于排出</w:t>
      </w:r>
      <w:r w:rsidRPr="0014055E">
        <w:rPr>
          <w:rFonts w:asciiTheme="minorEastAsia" w:eastAsiaTheme="minorEastAsia" w:hAnsiTheme="minorEastAsia"/>
          <w:sz w:val="24"/>
          <w:vertAlign w:val="superscript"/>
        </w:rPr>
        <w:t>[25]</w:t>
      </w:r>
      <w:r w:rsidRPr="0014055E">
        <w:rPr>
          <w:rFonts w:asciiTheme="minorEastAsia" w:eastAsiaTheme="minorEastAsia" w:hAnsiTheme="minorEastAsia"/>
          <w:sz w:val="24"/>
        </w:rPr>
        <w:t>；后者（如氨溴索）可溶解痰液，降低痰液的黏度</w:t>
      </w:r>
      <w:r w:rsidRPr="0014055E">
        <w:rPr>
          <w:rFonts w:asciiTheme="minorEastAsia" w:eastAsiaTheme="minorEastAsia" w:hAnsiTheme="minorEastAsia"/>
          <w:sz w:val="24"/>
          <w:vertAlign w:val="superscript"/>
        </w:rPr>
        <w:t>[26]</w:t>
      </w:r>
      <w:r w:rsidRPr="0014055E">
        <w:rPr>
          <w:rFonts w:asciiTheme="minorEastAsia" w:eastAsiaTheme="minorEastAsia" w:hAnsiTheme="minorEastAsia"/>
          <w:sz w:val="24"/>
        </w:rPr>
        <w:t>，促进排痰</w:t>
      </w:r>
      <w:r w:rsidRPr="0014055E">
        <w:rPr>
          <w:rFonts w:asciiTheme="minorEastAsia" w:eastAsiaTheme="minorEastAsia" w:hAnsiTheme="minorEastAsia"/>
          <w:sz w:val="24"/>
          <w:vertAlign w:val="superscript"/>
        </w:rPr>
        <w:t>[27]</w:t>
      </w:r>
      <w:r w:rsidRPr="0014055E">
        <w:rPr>
          <w:rFonts w:asciiTheme="minorEastAsia" w:eastAsiaTheme="minorEastAsia" w:hAnsiTheme="minorEastAsia"/>
          <w:sz w:val="24"/>
        </w:rPr>
        <w:t>。</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sz w:val="24"/>
        </w:rPr>
        <w:t>雾化吸入糖皮质激素与口服激素能够同样有效治疗AECOPD，可替代口服糖皮质激素治疗，但是相对花费更高。因此，推荐首选泼尼松龙治疗每日30～40 mg口服14 d治疗AECOPD</w:t>
      </w:r>
      <w:r w:rsidRPr="0014055E">
        <w:rPr>
          <w:rFonts w:asciiTheme="minorEastAsia" w:eastAsiaTheme="minorEastAsia" w:hAnsiTheme="minorEastAsia"/>
          <w:sz w:val="24"/>
          <w:vertAlign w:val="superscript"/>
        </w:rPr>
        <w:t>[28]</w:t>
      </w:r>
      <w:r w:rsidRPr="0014055E">
        <w:rPr>
          <w:rFonts w:asciiTheme="minorEastAsia" w:eastAsiaTheme="minorEastAsia" w:hAnsiTheme="minorEastAsia" w:hint="eastAsia"/>
          <w:sz w:val="24"/>
        </w:rPr>
        <w:t>。</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3．常用雾化吸入药物推荐剂量（表4）</w:t>
      </w:r>
    </w:p>
    <w:p w:rsidR="00BF48DF" w:rsidRPr="0014055E" w:rsidRDefault="00BF48DF" w:rsidP="00BF48DF">
      <w:pPr>
        <w:spacing w:line="480" w:lineRule="exact"/>
        <w:ind w:right="700"/>
        <w:contextualSpacing/>
        <w:jc w:val="center"/>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表4常用雾化吸入药物推荐剂量</w:t>
      </w:r>
    </w:p>
    <w:tbl>
      <w:tblPr>
        <w:tblW w:w="883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55"/>
        <w:gridCol w:w="6876"/>
      </w:tblGrid>
      <w:tr w:rsidR="00BF48DF" w:rsidRPr="0014055E" w:rsidTr="0014055E">
        <w:trPr>
          <w:jc w:val="center"/>
        </w:trPr>
        <w:tc>
          <w:tcPr>
            <w:tcW w:w="1955" w:type="dxa"/>
            <w:tcBorders>
              <w:top w:val="outset" w:sz="6" w:space="0" w:color="auto"/>
              <w:left w:val="outset" w:sz="6" w:space="0" w:color="auto"/>
              <w:bottom w:val="outset" w:sz="6" w:space="0" w:color="auto"/>
              <w:right w:val="outset" w:sz="6" w:space="0" w:color="auto"/>
            </w:tcBorders>
            <w:shd w:val="clear" w:color="auto" w:fill="E3E3E3"/>
            <w:vAlign w:val="center"/>
          </w:tcPr>
          <w:p w:rsidR="00BF48DF" w:rsidRPr="0014055E" w:rsidRDefault="00BF48DF" w:rsidP="0014055E">
            <w:pPr>
              <w:widowControl/>
              <w:shd w:val="clear" w:color="auto" w:fill="E3E3E3"/>
              <w:adjustRightInd w:val="0"/>
              <w:snapToGrid w:val="0"/>
              <w:spacing w:line="360" w:lineRule="auto"/>
              <w:jc w:val="center"/>
              <w:rPr>
                <w:rFonts w:asciiTheme="minorEastAsia" w:eastAsiaTheme="minorEastAsia" w:hAnsiTheme="minorEastAsia"/>
                <w:b/>
                <w:color w:val="333333"/>
                <w:sz w:val="24"/>
              </w:rPr>
            </w:pPr>
            <w:r w:rsidRPr="0014055E">
              <w:rPr>
                <w:rFonts w:asciiTheme="minorEastAsia" w:eastAsiaTheme="minorEastAsia" w:hAnsiTheme="minorEastAsia"/>
                <w:b/>
                <w:color w:val="333333"/>
                <w:kern w:val="0"/>
                <w:sz w:val="24"/>
              </w:rPr>
              <w:t>药物</w:t>
            </w:r>
          </w:p>
        </w:tc>
        <w:tc>
          <w:tcPr>
            <w:tcW w:w="6876" w:type="dxa"/>
            <w:tcBorders>
              <w:top w:val="outset" w:sz="6" w:space="0" w:color="auto"/>
              <w:left w:val="outset" w:sz="6" w:space="0" w:color="auto"/>
              <w:bottom w:val="outset" w:sz="6" w:space="0" w:color="auto"/>
              <w:right w:val="outset" w:sz="6" w:space="0" w:color="auto"/>
            </w:tcBorders>
            <w:shd w:val="clear" w:color="auto" w:fill="E3E3E3"/>
            <w:vAlign w:val="center"/>
          </w:tcPr>
          <w:p w:rsidR="00BF48DF" w:rsidRPr="0014055E" w:rsidRDefault="00BF48DF" w:rsidP="0014055E">
            <w:pPr>
              <w:widowControl/>
              <w:shd w:val="clear" w:color="auto" w:fill="E3E3E3"/>
              <w:adjustRightInd w:val="0"/>
              <w:snapToGrid w:val="0"/>
              <w:spacing w:line="360" w:lineRule="auto"/>
              <w:jc w:val="center"/>
              <w:rPr>
                <w:rFonts w:asciiTheme="minorEastAsia" w:eastAsiaTheme="minorEastAsia" w:hAnsiTheme="minorEastAsia"/>
                <w:b/>
                <w:color w:val="333333"/>
                <w:sz w:val="24"/>
              </w:rPr>
            </w:pPr>
            <w:r w:rsidRPr="0014055E">
              <w:rPr>
                <w:rFonts w:asciiTheme="minorEastAsia" w:eastAsiaTheme="minorEastAsia" w:hAnsiTheme="minorEastAsia"/>
                <w:b/>
                <w:color w:val="333333"/>
                <w:kern w:val="0"/>
                <w:sz w:val="24"/>
              </w:rPr>
              <w:t>推荐剂量</w:t>
            </w:r>
          </w:p>
        </w:tc>
      </w:tr>
      <w:tr w:rsidR="00BF48DF" w:rsidRPr="0014055E" w:rsidTr="0014055E">
        <w:trPr>
          <w:jc w:val="center"/>
        </w:trPr>
        <w:tc>
          <w:tcPr>
            <w:tcW w:w="1955"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布地奈德混悬液</w:t>
            </w:r>
          </w:p>
        </w:tc>
        <w:tc>
          <w:tcPr>
            <w:tcW w:w="687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AECOPD：2～4 mg每日2次</w:t>
            </w:r>
          </w:p>
          <w:p w:rsidR="00BF48DF" w:rsidRPr="0014055E" w:rsidRDefault="0058159B" w:rsidP="0014055E">
            <w:pPr>
              <w:pStyle w:val="a5"/>
              <w:widowControl/>
              <w:adjustRightInd w:val="0"/>
              <w:snapToGrid w:val="0"/>
              <w:spacing w:before="0" w:beforeAutospacing="0" w:after="0" w:afterAutospacing="0" w:line="360" w:lineRule="auto"/>
              <w:rPr>
                <w:rFonts w:asciiTheme="minorEastAsia" w:eastAsiaTheme="minorEastAsia" w:hAnsiTheme="minorEastAsia"/>
              </w:rPr>
            </w:pPr>
            <w:hyperlink r:id="rId8" w:tgtFrame="http://www.haodf.com/zhuanjiaguandian/_blank" w:history="1"/>
            <w:hyperlink r:id="rId9" w:tgtFrame="http://www.haodf.com/zhuanjiaguandian/_blank" w:history="1">
              <w:r w:rsidR="00BF48DF" w:rsidRPr="0014055E">
                <w:rPr>
                  <w:rStyle w:val="a6"/>
                  <w:rFonts w:asciiTheme="minorEastAsia" w:eastAsiaTheme="minorEastAsia" w:hAnsiTheme="minorEastAsia"/>
                  <w:color w:val="333333"/>
                </w:rPr>
                <w:t>哮喘</w:t>
              </w:r>
            </w:hyperlink>
            <w:r w:rsidR="00BF48DF" w:rsidRPr="0014055E">
              <w:rPr>
                <w:rFonts w:asciiTheme="minorEastAsia" w:eastAsiaTheme="minorEastAsia" w:hAnsiTheme="minorEastAsia"/>
                <w:color w:val="333333"/>
              </w:rPr>
              <w:t>急性发作：1～2mg每日2次</w:t>
            </w:r>
          </w:p>
        </w:tc>
      </w:tr>
      <w:tr w:rsidR="00BF48DF" w:rsidRPr="0014055E" w:rsidTr="0014055E">
        <w:trPr>
          <w:jc w:val="center"/>
        </w:trPr>
        <w:tc>
          <w:tcPr>
            <w:tcW w:w="1955"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氟替卡松混悬液</w:t>
            </w:r>
          </w:p>
        </w:tc>
        <w:tc>
          <w:tcPr>
            <w:tcW w:w="687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0.5～2 mg每日2次</w:t>
            </w:r>
            <w:r w:rsidRPr="0014055E">
              <w:rPr>
                <w:rFonts w:asciiTheme="minorEastAsia" w:eastAsiaTheme="minorEastAsia" w:hAnsiTheme="minorEastAsia"/>
                <w:color w:val="333333"/>
                <w:kern w:val="0"/>
                <w:sz w:val="24"/>
                <w:vertAlign w:val="superscript"/>
              </w:rPr>
              <w:t>[29]</w:t>
            </w:r>
          </w:p>
        </w:tc>
      </w:tr>
      <w:tr w:rsidR="00BF48DF" w:rsidRPr="0014055E" w:rsidTr="0014055E">
        <w:trPr>
          <w:jc w:val="center"/>
        </w:trPr>
        <w:tc>
          <w:tcPr>
            <w:tcW w:w="1955"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硫酸沙丁胺醇</w:t>
            </w:r>
          </w:p>
        </w:tc>
        <w:tc>
          <w:tcPr>
            <w:tcW w:w="687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pStyle w:val="a5"/>
              <w:widowControl/>
              <w:adjustRightInd w:val="0"/>
              <w:snapToGrid w:val="0"/>
              <w:spacing w:before="0" w:beforeAutospacing="0" w:after="0" w:afterAutospacing="0" w:line="360" w:lineRule="auto"/>
              <w:rPr>
                <w:rFonts w:asciiTheme="minorEastAsia" w:eastAsiaTheme="minorEastAsia" w:hAnsiTheme="minorEastAsia"/>
              </w:rPr>
            </w:pPr>
            <w:r w:rsidRPr="0014055E">
              <w:rPr>
                <w:rFonts w:asciiTheme="minorEastAsia" w:eastAsiaTheme="minorEastAsia" w:hAnsiTheme="minorEastAsia"/>
                <w:color w:val="333333"/>
              </w:rPr>
              <w:t>间歇疗法2.5～10 mg每日4次</w:t>
            </w:r>
          </w:p>
          <w:p w:rsidR="00BF48DF" w:rsidRPr="0014055E" w:rsidRDefault="00BF48DF" w:rsidP="0014055E">
            <w:pPr>
              <w:pStyle w:val="a5"/>
              <w:widowControl/>
              <w:adjustRightInd w:val="0"/>
              <w:snapToGrid w:val="0"/>
              <w:spacing w:before="0" w:beforeAutospacing="0" w:after="0" w:afterAutospacing="0" w:line="360" w:lineRule="auto"/>
              <w:rPr>
                <w:rFonts w:asciiTheme="minorEastAsia" w:eastAsiaTheme="minorEastAsia" w:hAnsiTheme="minorEastAsia"/>
              </w:rPr>
            </w:pPr>
            <w:r w:rsidRPr="0014055E">
              <w:rPr>
                <w:rFonts w:asciiTheme="minorEastAsia" w:eastAsiaTheme="minorEastAsia" w:hAnsiTheme="minorEastAsia"/>
                <w:color w:val="333333"/>
              </w:rPr>
              <w:t>连续疗法5～10mg，加生理盐水稀释至100mL，采用喷雾器以气雾方式治疗，常用给药速率1～2mg/h</w:t>
            </w:r>
          </w:p>
        </w:tc>
      </w:tr>
      <w:tr w:rsidR="00BF48DF" w:rsidRPr="0014055E" w:rsidTr="0014055E">
        <w:trPr>
          <w:jc w:val="center"/>
        </w:trPr>
        <w:tc>
          <w:tcPr>
            <w:tcW w:w="1955"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lastRenderedPageBreak/>
              <w:t>硫酸特布他林</w:t>
            </w:r>
          </w:p>
        </w:tc>
        <w:tc>
          <w:tcPr>
            <w:tcW w:w="687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按需使用</w:t>
            </w:r>
          </w:p>
          <w:p w:rsidR="00BF48DF" w:rsidRPr="0014055E" w:rsidRDefault="00BF48DF" w:rsidP="0014055E">
            <w:pPr>
              <w:pStyle w:val="a5"/>
              <w:widowControl/>
              <w:adjustRightInd w:val="0"/>
              <w:snapToGrid w:val="0"/>
              <w:spacing w:before="0" w:beforeAutospacing="0" w:after="0" w:afterAutospacing="0" w:line="360" w:lineRule="auto"/>
              <w:rPr>
                <w:rFonts w:asciiTheme="minorEastAsia" w:eastAsiaTheme="minorEastAsia" w:hAnsiTheme="minorEastAsia"/>
              </w:rPr>
            </w:pPr>
            <w:r w:rsidRPr="0014055E">
              <w:rPr>
                <w:rFonts w:asciiTheme="minorEastAsia" w:eastAsiaTheme="minorEastAsia" w:hAnsiTheme="minorEastAsia"/>
                <w:color w:val="333333"/>
              </w:rPr>
              <w:t>体重＞20kg：5.0mg/次，24h内最多4次</w:t>
            </w:r>
          </w:p>
          <w:p w:rsidR="00BF48DF" w:rsidRPr="0014055E" w:rsidRDefault="00BF48DF" w:rsidP="0014055E">
            <w:pPr>
              <w:pStyle w:val="a5"/>
              <w:widowControl/>
              <w:adjustRightInd w:val="0"/>
              <w:snapToGrid w:val="0"/>
              <w:spacing w:before="0" w:beforeAutospacing="0" w:after="0" w:afterAutospacing="0" w:line="360" w:lineRule="auto"/>
              <w:rPr>
                <w:rFonts w:asciiTheme="minorEastAsia" w:eastAsiaTheme="minorEastAsia" w:hAnsiTheme="minorEastAsia"/>
              </w:rPr>
            </w:pPr>
            <w:r w:rsidRPr="0014055E">
              <w:rPr>
                <w:rFonts w:asciiTheme="minorEastAsia" w:eastAsiaTheme="minorEastAsia" w:hAnsiTheme="minorEastAsia"/>
                <w:color w:val="333333"/>
              </w:rPr>
              <w:t>体重＜20kg：2.5mg/次，24h内最多4次</w:t>
            </w:r>
          </w:p>
        </w:tc>
      </w:tr>
      <w:tr w:rsidR="00BF48DF" w:rsidRPr="0014055E" w:rsidTr="0014055E">
        <w:trPr>
          <w:jc w:val="center"/>
        </w:trPr>
        <w:tc>
          <w:tcPr>
            <w:tcW w:w="1955"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异丙托溴铵</w:t>
            </w:r>
          </w:p>
        </w:tc>
        <w:tc>
          <w:tcPr>
            <w:tcW w:w="6876" w:type="dxa"/>
            <w:tcBorders>
              <w:top w:val="outset" w:sz="6" w:space="0" w:color="auto"/>
              <w:left w:val="outset" w:sz="6" w:space="0" w:color="auto"/>
              <w:bottom w:val="outset" w:sz="6" w:space="0" w:color="auto"/>
              <w:right w:val="outset" w:sz="6" w:space="0" w:color="auto"/>
            </w:tcBorders>
            <w:shd w:val="clear" w:color="auto" w:fill="FFFFFF"/>
            <w:vAlign w:val="center"/>
          </w:tcPr>
          <w:p w:rsidR="00BF48DF" w:rsidRPr="0014055E" w:rsidRDefault="00BF48DF" w:rsidP="0014055E">
            <w:pPr>
              <w:widowControl/>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0.5 mg每日3～4次</w:t>
            </w:r>
          </w:p>
          <w:p w:rsidR="00BF48DF" w:rsidRPr="0014055E" w:rsidRDefault="00BF48DF" w:rsidP="0014055E">
            <w:pPr>
              <w:pStyle w:val="a5"/>
              <w:widowControl/>
              <w:adjustRightInd w:val="0"/>
              <w:snapToGrid w:val="0"/>
              <w:spacing w:before="0" w:beforeAutospacing="0" w:after="0" w:afterAutospacing="0" w:line="360" w:lineRule="auto"/>
              <w:rPr>
                <w:rFonts w:asciiTheme="minorEastAsia" w:eastAsiaTheme="minorEastAsia" w:hAnsiTheme="minorEastAsia"/>
              </w:rPr>
            </w:pPr>
            <w:r w:rsidRPr="0014055E">
              <w:rPr>
                <w:rFonts w:asciiTheme="minorEastAsia" w:eastAsiaTheme="minorEastAsia" w:hAnsiTheme="minorEastAsia"/>
                <w:color w:val="333333"/>
              </w:rPr>
              <w:t>急性期病人病情稳定前可重复给药，给药间隔根据治疗反应确定</w:t>
            </w:r>
          </w:p>
        </w:tc>
      </w:tr>
      <w:tr w:rsidR="00BF48DF" w:rsidRPr="0014055E" w:rsidTr="0014055E">
        <w:trPr>
          <w:jc w:val="center"/>
        </w:trPr>
        <w:tc>
          <w:tcPr>
            <w:tcW w:w="1955"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复方异丙托溴铵溶液</w:t>
            </w:r>
          </w:p>
        </w:tc>
        <w:tc>
          <w:tcPr>
            <w:tcW w:w="6876" w:type="dxa"/>
            <w:tcBorders>
              <w:top w:val="outset" w:sz="6" w:space="0" w:color="auto"/>
              <w:left w:val="outset" w:sz="6" w:space="0" w:color="auto"/>
              <w:bottom w:val="outset" w:sz="6" w:space="0" w:color="auto"/>
              <w:right w:val="outset" w:sz="6" w:space="0" w:color="auto"/>
            </w:tcBorders>
            <w:shd w:val="clear" w:color="auto" w:fill="F3F3F3"/>
            <w:vAlign w:val="center"/>
          </w:tcPr>
          <w:p w:rsidR="00BF48DF" w:rsidRPr="0014055E" w:rsidRDefault="00BF48DF" w:rsidP="0014055E">
            <w:pPr>
              <w:widowControl/>
              <w:shd w:val="clear" w:color="auto" w:fill="F3F3F3"/>
              <w:adjustRightInd w:val="0"/>
              <w:snapToGrid w:val="0"/>
              <w:spacing w:line="360" w:lineRule="auto"/>
              <w:jc w:val="left"/>
              <w:rPr>
                <w:rFonts w:asciiTheme="minorEastAsia" w:eastAsiaTheme="minorEastAsia" w:hAnsiTheme="minorEastAsia"/>
                <w:color w:val="333333"/>
                <w:sz w:val="24"/>
              </w:rPr>
            </w:pPr>
            <w:r w:rsidRPr="0014055E">
              <w:rPr>
                <w:rFonts w:asciiTheme="minorEastAsia" w:eastAsiaTheme="minorEastAsia" w:hAnsiTheme="minorEastAsia"/>
                <w:color w:val="333333"/>
                <w:kern w:val="0"/>
                <w:sz w:val="24"/>
              </w:rPr>
              <w:t>雾化溶液异丙托溴铵0.5 mg和硫酸沙丁胺醇3.0 mg每日3～4次</w:t>
            </w:r>
          </w:p>
        </w:tc>
      </w:tr>
    </w:tbl>
    <w:p w:rsidR="00BF48DF" w:rsidRPr="0014055E" w:rsidRDefault="00BF48DF" w:rsidP="00BF48DF">
      <w:pPr>
        <w:spacing w:line="480" w:lineRule="exact"/>
        <w:ind w:right="700"/>
        <w:contextualSpacing/>
        <w:jc w:val="left"/>
        <w:textAlignment w:val="center"/>
        <w:rPr>
          <w:rFonts w:asciiTheme="minorEastAsia" w:eastAsiaTheme="minorEastAsia" w:hAnsiTheme="minorEastAsia"/>
          <w:sz w:val="24"/>
        </w:rPr>
      </w:pP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四、雾化吸入治疗的不良反应及注意事项</w:t>
      </w:r>
      <w:r w:rsidRPr="0014055E">
        <w:rPr>
          <w:rFonts w:asciiTheme="minorEastAsia" w:eastAsiaTheme="minorEastAsia" w:hAnsiTheme="minorEastAsia" w:hint="eastAsia"/>
          <w:sz w:val="24"/>
          <w:vertAlign w:val="superscript"/>
        </w:rPr>
        <w:t>[2, 3]</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1．雾化吸入治疗的并发症和危险性：</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(1)药物相关的不良反应；</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(2)支气管痉挛；</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(3)医院内感染；</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(4)气道灼伤；</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(5)无效的气道水化。</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2．注意事项：</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(1)定期消毒雾化器，避免污染和交叉感染，提倡每个患者专用一个雾化器以避免交叉感染。</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(2)避免超常剂量使用</w:t>
      </w:r>
      <w:r w:rsidRPr="0014055E">
        <w:rPr>
          <w:rFonts w:asciiTheme="minorEastAsia" w:eastAsiaTheme="minorEastAsia" w:hAnsiTheme="minorEastAsia"/>
          <w:sz w:val="24"/>
        </w:rPr>
        <w:t>β</w:t>
      </w:r>
      <w:r w:rsidRPr="0014055E">
        <w:rPr>
          <w:rFonts w:asciiTheme="minorEastAsia" w:eastAsiaTheme="minorEastAsia" w:hAnsiTheme="minorEastAsia" w:hint="eastAsia"/>
          <w:sz w:val="24"/>
        </w:rPr>
        <w:t>受体激动剂，尤其是老年人，以避免严重心律失常的发生。</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(3)少数患者雾化吸入后，不仅没有出现支气管舒张，反而诱发支气管痉挛，即所谓“治疗矛盾现象”。其原因可能是：药液低渗，防腐剂诱发，气雾的温度过低或对药液过敏。应寻找原因，及时采取防治措施。</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(4)对呼吸道刺激性较强的药物不宜作雾化吸入。碱性药液、高渗盐水以及蒸馏水可引起气道高反应性，导致支气管痉挛，应避免用于雾化吸入。油性制剂也不能以吸入方式给药，否则可引起脂质性肺炎。</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(5)使用压缩空气/氧气驱动雾化吸入治疗时，应保持一定的流量（6～8 L/min）和管道的通畅。</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(6)超声雾化具有加热的作用，可能破坏药物的成分，如布地奈德。</w:t>
      </w:r>
    </w:p>
    <w:p w:rsidR="00BF48DF" w:rsidRPr="0014055E" w:rsidRDefault="00BF48DF" w:rsidP="0014055E">
      <w:pPr>
        <w:spacing w:line="440" w:lineRule="exact"/>
        <w:ind w:right="700"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五、药物配伍注意事项</w:t>
      </w:r>
    </w:p>
    <w:p w:rsidR="00BF48DF" w:rsidRPr="0014055E" w:rsidRDefault="00BF48DF" w:rsidP="0014055E">
      <w:pPr>
        <w:spacing w:line="440" w:lineRule="exact"/>
        <w:ind w:right="111"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配伍表能够简便、快速地为医务人员提供常用静脉注射药物配伍相容性的</w:t>
      </w:r>
      <w:r w:rsidRPr="0014055E">
        <w:rPr>
          <w:rFonts w:asciiTheme="minorEastAsia" w:eastAsiaTheme="minorEastAsia" w:hAnsiTheme="minorEastAsia" w:hint="eastAsia"/>
          <w:sz w:val="24"/>
        </w:rPr>
        <w:lastRenderedPageBreak/>
        <w:t>参考，包括糖皮质激素、抗菌药物和其他药物。《Trissel混合组分的稳定性》和Trissel的两个临床药剂学数据库</w:t>
      </w:r>
      <w:r w:rsidRPr="0014055E">
        <w:rPr>
          <w:rFonts w:asciiTheme="minorEastAsia" w:eastAsiaTheme="minorEastAsia" w:hAnsiTheme="minorEastAsia" w:hint="eastAsia"/>
          <w:sz w:val="24"/>
          <w:vertAlign w:val="superscript"/>
        </w:rPr>
        <w:t>[30, 31]</w:t>
      </w:r>
      <w:r w:rsidRPr="0014055E">
        <w:rPr>
          <w:rFonts w:asciiTheme="minorEastAsia" w:eastAsiaTheme="minorEastAsia" w:hAnsiTheme="minorEastAsia" w:hint="eastAsia"/>
          <w:sz w:val="24"/>
        </w:rPr>
        <w:t>提供了有关多种雾化吸入药物的全面数据，包括各种药物在同一雾化器中配伍使用的相容性和稳定性数据（表5）。</w:t>
      </w:r>
    </w:p>
    <w:p w:rsidR="00BF48DF" w:rsidRPr="0014055E" w:rsidRDefault="00BF48DF" w:rsidP="00BF48DF">
      <w:pPr>
        <w:spacing w:line="480" w:lineRule="exact"/>
        <w:ind w:right="700" w:firstLineChars="200" w:firstLine="480"/>
        <w:contextualSpacing/>
        <w:jc w:val="center"/>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表5 常用雾化吸入药物的配伍</w:t>
      </w:r>
    </w:p>
    <w:p w:rsidR="00BF48DF" w:rsidRPr="0014055E" w:rsidRDefault="00BF48DF" w:rsidP="00BF48DF">
      <w:pPr>
        <w:spacing w:line="360" w:lineRule="auto"/>
        <w:ind w:right="697"/>
        <w:contextualSpacing/>
        <w:jc w:val="center"/>
        <w:textAlignment w:val="center"/>
        <w:rPr>
          <w:rFonts w:asciiTheme="minorEastAsia" w:eastAsiaTheme="minorEastAsia" w:hAnsiTheme="minorEastAsia"/>
          <w:sz w:val="24"/>
        </w:rPr>
      </w:pPr>
      <w:r w:rsidRPr="0014055E">
        <w:rPr>
          <w:rFonts w:asciiTheme="minorEastAsia" w:eastAsiaTheme="minorEastAsia" w:hAnsiTheme="minorEastAsia" w:hint="eastAsia"/>
          <w:noProof/>
          <w:sz w:val="24"/>
        </w:rPr>
        <w:drawing>
          <wp:inline distT="0" distB="0" distL="0" distR="0">
            <wp:extent cx="5730240" cy="2076450"/>
            <wp:effectExtent l="38100" t="57150" r="22814" b="37978"/>
            <wp:docPr id="3"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6"/>
                    <pic:cNvPicPr>
                      <a:picLocks noChangeAspect="1" noChangeArrowheads="1"/>
                    </pic:cNvPicPr>
                  </pic:nvPicPr>
                  <pic:blipFill>
                    <a:blip r:embed="rId10" cstate="print"/>
                    <a:srcRect/>
                    <a:stretch>
                      <a:fillRect/>
                    </a:stretch>
                  </pic:blipFill>
                  <pic:spPr>
                    <a:xfrm rot="21540000">
                      <a:off x="0" y="0"/>
                      <a:ext cx="5730286" cy="2076572"/>
                    </a:xfrm>
                    <a:prstGeom prst="rect">
                      <a:avLst/>
                    </a:prstGeom>
                    <a:noFill/>
                    <a:ln w="9525">
                      <a:noFill/>
                      <a:miter lim="800000"/>
                      <a:headEnd/>
                      <a:tailEnd/>
                    </a:ln>
                  </pic:spPr>
                </pic:pic>
              </a:graphicData>
            </a:graphic>
          </wp:inline>
        </w:drawing>
      </w:r>
    </w:p>
    <w:p w:rsidR="00BF48DF" w:rsidRPr="0014055E" w:rsidRDefault="00BF48DF" w:rsidP="00BF48DF">
      <w:pPr>
        <w:spacing w:line="360" w:lineRule="exact"/>
        <w:ind w:right="113"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rPr>
        <w:t>注：有字母C的深绿色阴影部分表示临床研究中有证据证实这种配伍的稳定性和相容性；有字母R的蓝色阴影部分表示没有足够的证据评价相容性，但在我国有广泛的临床报道；有字母X的红色阴影部分表示有证据证实或提示这种配伍是不相容或不合适的；有字母NI的黄色阴影部分表示没有足够的证据评价相容性，因此，除非将来获得进一步的证据，否则应避免使用这种配伍。</w:t>
      </w:r>
    </w:p>
    <w:p w:rsidR="00BF48DF" w:rsidRPr="0014055E" w:rsidRDefault="00BF48DF" w:rsidP="00BF48DF">
      <w:pPr>
        <w:spacing w:line="360" w:lineRule="exact"/>
        <w:ind w:right="113" w:firstLineChars="200" w:firstLine="480"/>
        <w:contextualSpacing/>
        <w:jc w:val="left"/>
        <w:textAlignment w:val="center"/>
        <w:rPr>
          <w:rFonts w:asciiTheme="minorEastAsia" w:eastAsiaTheme="minorEastAsia" w:hAnsiTheme="minorEastAsia"/>
          <w:sz w:val="24"/>
        </w:rPr>
      </w:pPr>
      <w:r w:rsidRPr="0014055E">
        <w:rPr>
          <w:rFonts w:asciiTheme="minorEastAsia" w:eastAsiaTheme="minorEastAsia" w:hAnsiTheme="minorEastAsia" w:hint="eastAsia"/>
          <w:sz w:val="24"/>
          <w:vertAlign w:val="superscript"/>
        </w:rPr>
        <w:t>a</w:t>
      </w:r>
      <w:r w:rsidRPr="0014055E">
        <w:rPr>
          <w:rFonts w:asciiTheme="minorEastAsia" w:eastAsiaTheme="minorEastAsia" w:hAnsiTheme="minorEastAsia" w:hint="eastAsia"/>
          <w:sz w:val="24"/>
        </w:rPr>
        <w:t>布地奈德（Pulmicort）的生产商（阿斯利康）指出，布地奈德与色甘酸（Intal）的混合物中会出现云雾状混浊，但这一信息没有纳入药品说明书中，也没有通过研究证实；</w:t>
      </w:r>
      <w:r w:rsidRPr="0014055E">
        <w:rPr>
          <w:rFonts w:asciiTheme="minorEastAsia" w:eastAsiaTheme="minorEastAsia" w:hAnsiTheme="minorEastAsia" w:hint="eastAsia"/>
          <w:sz w:val="24"/>
          <w:vertAlign w:val="superscript"/>
        </w:rPr>
        <w:t>b</w:t>
      </w:r>
      <w:r w:rsidRPr="0014055E">
        <w:rPr>
          <w:rFonts w:asciiTheme="minorEastAsia" w:eastAsiaTheme="minorEastAsia" w:hAnsiTheme="minorEastAsia" w:hint="eastAsia"/>
          <w:sz w:val="24"/>
        </w:rPr>
        <w:t>生产商证实了色甘酸(Intal, King Pharmaceuticals)与沙丁胺醇（Ventolin，葛兰素史克）、非诺特罗（Berotec，勃林格殷格翰）、异丙喘宁（Alupent, DeyLaboratories）及特布他林（Bricanyl，阿斯利康）的相容性；</w:t>
      </w:r>
      <w:r w:rsidRPr="0014055E">
        <w:rPr>
          <w:rFonts w:asciiTheme="minorEastAsia" w:eastAsiaTheme="minorEastAsia" w:hAnsiTheme="minorEastAsia" w:hint="eastAsia"/>
          <w:sz w:val="24"/>
          <w:vertAlign w:val="superscript"/>
        </w:rPr>
        <w:t>c</w:t>
      </w:r>
      <w:r w:rsidRPr="0014055E">
        <w:rPr>
          <w:rFonts w:asciiTheme="minorEastAsia" w:eastAsiaTheme="minorEastAsia" w:hAnsiTheme="minorEastAsia" w:hint="eastAsia"/>
          <w:sz w:val="24"/>
        </w:rPr>
        <w:t>异丙托溴铵（Atrovent，勃林格殷格翰）的药品说明书中指出，异丙托溴铵不能与色甘酸配伍，因为会发生沉淀。据报道，色甘酸与异丙托溴 铵混合后立即产生云雾状混浊，这被认为是色甘酸中一种未知赋形剂的作用所致；生产商将云雾状混浊归因于制剂中的苯扎氯铵。不过，据报道，异丙托溴铵在雾化器内与经口吸入的色甘酸钠溶液混合也可保持1 h的化学稳定性；</w:t>
      </w:r>
      <w:r w:rsidRPr="0014055E">
        <w:rPr>
          <w:rFonts w:asciiTheme="minorEastAsia" w:eastAsiaTheme="minorEastAsia" w:hAnsiTheme="minorEastAsia" w:hint="eastAsia"/>
          <w:sz w:val="24"/>
          <w:vertAlign w:val="superscript"/>
        </w:rPr>
        <w:t>d</w:t>
      </w:r>
      <w:r w:rsidRPr="0014055E">
        <w:rPr>
          <w:rFonts w:asciiTheme="minorEastAsia" w:eastAsiaTheme="minorEastAsia" w:hAnsiTheme="minorEastAsia" w:hint="eastAsia"/>
          <w:sz w:val="24"/>
        </w:rPr>
        <w:t>盐酸氨溴索（Mucosolvan，勃林格殷格翰）产品说明书未推荐雾化吸入使用；</w:t>
      </w:r>
      <w:r w:rsidRPr="0014055E">
        <w:rPr>
          <w:rFonts w:asciiTheme="minorEastAsia" w:eastAsiaTheme="minorEastAsia" w:hAnsiTheme="minorEastAsia" w:hint="eastAsia"/>
          <w:sz w:val="24"/>
          <w:vertAlign w:val="superscript"/>
        </w:rPr>
        <w:t>e</w:t>
      </w:r>
      <w:r w:rsidRPr="0014055E">
        <w:rPr>
          <w:rFonts w:asciiTheme="minorEastAsia" w:eastAsiaTheme="minorEastAsia" w:hAnsiTheme="minorEastAsia" w:hint="eastAsia"/>
          <w:sz w:val="24"/>
        </w:rPr>
        <w:t>沙丁胺醇和异丙托溴铵有用于雾化吸入的复方溶液（Combivent，勃林格殷格翰），其药品说明书中指出，不要将本品与其他药品混在同一雾化器中使用。（参考文献：略）</w:t>
      </w:r>
    </w:p>
    <w:p w:rsidR="00185404" w:rsidRDefault="00185404" w:rsidP="0014055E">
      <w:pPr>
        <w:spacing w:line="620" w:lineRule="exact"/>
        <w:rPr>
          <w:rFonts w:ascii="Times New Roman" w:hAnsi="Times New Roman"/>
          <w:sz w:val="28"/>
          <w:szCs w:val="28"/>
        </w:rPr>
      </w:pPr>
    </w:p>
    <w:p w:rsidR="00185404" w:rsidRDefault="00185404" w:rsidP="0014055E">
      <w:pPr>
        <w:spacing w:line="620" w:lineRule="exact"/>
        <w:rPr>
          <w:rFonts w:ascii="Times New Roman" w:hAnsi="Times New Roman"/>
          <w:sz w:val="28"/>
          <w:szCs w:val="28"/>
        </w:rPr>
      </w:pPr>
    </w:p>
    <w:p w:rsidR="00185404" w:rsidRDefault="00185404" w:rsidP="0014055E">
      <w:pPr>
        <w:spacing w:line="620" w:lineRule="exact"/>
        <w:rPr>
          <w:rFonts w:ascii="Times New Roman" w:hAnsi="Times New Roman"/>
          <w:sz w:val="28"/>
          <w:szCs w:val="28"/>
        </w:rPr>
      </w:pPr>
    </w:p>
    <w:p w:rsidR="0014055E" w:rsidRDefault="0014055E" w:rsidP="0014055E">
      <w:pPr>
        <w:spacing w:line="620" w:lineRule="exact"/>
        <w:rPr>
          <w:rFonts w:ascii="宋体" w:eastAsia="宋体" w:hAnsi="宋体" w:cs="宋体"/>
          <w:sz w:val="28"/>
          <w:szCs w:val="28"/>
        </w:rPr>
      </w:pPr>
      <w:r>
        <w:rPr>
          <w:rFonts w:ascii="Times New Roman" w:hAnsi="Times New Roman" w:hint="eastAsia"/>
          <w:sz w:val="28"/>
          <w:szCs w:val="28"/>
        </w:rPr>
        <w:lastRenderedPageBreak/>
        <w:t>【</w:t>
      </w:r>
      <w:r>
        <w:rPr>
          <w:rFonts w:ascii="宋体" w:eastAsia="宋体" w:hAnsi="宋体" w:cs="宋体" w:hint="eastAsia"/>
          <w:sz w:val="28"/>
          <w:szCs w:val="28"/>
        </w:rPr>
        <w:t>药物不良反应】</w:t>
      </w:r>
    </w:p>
    <w:p w:rsidR="0014055E" w:rsidRDefault="0014055E" w:rsidP="0014055E">
      <w:pPr>
        <w:pStyle w:val="1"/>
        <w:ind w:firstLine="482"/>
      </w:pPr>
      <w:bookmarkStart w:id="1" w:name="_Toc20191"/>
      <w:r>
        <w:rPr>
          <w:rFonts w:hint="eastAsia"/>
        </w:rPr>
        <w:t>不良反应通报信息</w:t>
      </w:r>
      <w:bookmarkEnd w:id="1"/>
    </w:p>
    <w:tbl>
      <w:tblPr>
        <w:tblW w:w="8868" w:type="dxa"/>
        <w:tblLayout w:type="fixed"/>
        <w:tblCellMar>
          <w:top w:w="15" w:type="dxa"/>
          <w:left w:w="15" w:type="dxa"/>
          <w:bottom w:w="15" w:type="dxa"/>
          <w:right w:w="15" w:type="dxa"/>
        </w:tblCellMar>
        <w:tblLook w:val="04A0"/>
      </w:tblPr>
      <w:tblGrid>
        <w:gridCol w:w="1208"/>
        <w:gridCol w:w="1305"/>
        <w:gridCol w:w="1520"/>
        <w:gridCol w:w="1713"/>
        <w:gridCol w:w="1428"/>
        <w:gridCol w:w="1694"/>
      </w:tblGrid>
      <w:tr w:rsidR="0014055E" w:rsidTr="0014055E">
        <w:trPr>
          <w:trHeight w:val="506"/>
        </w:trPr>
        <w:tc>
          <w:tcPr>
            <w:tcW w:w="12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055E" w:rsidRDefault="0014055E" w:rsidP="0014055E">
            <w:pPr>
              <w:widowControl/>
              <w:ind w:firstLine="360"/>
              <w:jc w:val="left"/>
              <w:textAlignment w:val="bottom"/>
              <w:rPr>
                <w:rFonts w:ascii="宋体" w:hAnsi="宋体" w:cs="宋体"/>
                <w:color w:val="000000"/>
                <w:sz w:val="18"/>
                <w:szCs w:val="18"/>
              </w:rPr>
            </w:pPr>
            <w:r>
              <w:rPr>
                <w:rFonts w:ascii="宋体" w:eastAsia="宋体" w:hAnsi="宋体" w:cs="宋体" w:hint="eastAsia"/>
                <w:color w:val="000000"/>
                <w:kern w:val="0"/>
                <w:sz w:val="18"/>
                <w:szCs w:val="18"/>
              </w:rPr>
              <w:t>通用名</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055E" w:rsidRDefault="0014055E" w:rsidP="0014055E">
            <w:pPr>
              <w:widowControl/>
              <w:ind w:firstLine="360"/>
              <w:jc w:val="left"/>
              <w:textAlignment w:val="bottom"/>
              <w:rPr>
                <w:rFonts w:ascii="宋体" w:hAnsi="宋体" w:cs="宋体"/>
                <w:color w:val="000000"/>
                <w:sz w:val="18"/>
                <w:szCs w:val="18"/>
              </w:rPr>
            </w:pPr>
            <w:r>
              <w:rPr>
                <w:rFonts w:ascii="宋体" w:eastAsia="宋体" w:hAnsi="宋体" w:cs="宋体" w:hint="eastAsia"/>
                <w:color w:val="000000"/>
                <w:kern w:val="0"/>
                <w:sz w:val="18"/>
                <w:szCs w:val="18"/>
              </w:rPr>
              <w:t>规格</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055E" w:rsidRDefault="0014055E" w:rsidP="0014055E">
            <w:pPr>
              <w:widowControl/>
              <w:ind w:firstLine="360"/>
              <w:jc w:val="left"/>
              <w:textAlignment w:val="bottom"/>
              <w:rPr>
                <w:rFonts w:ascii="宋体" w:hAnsi="宋体" w:cs="宋体"/>
                <w:color w:val="000000"/>
                <w:sz w:val="18"/>
                <w:szCs w:val="18"/>
              </w:rPr>
            </w:pPr>
            <w:r>
              <w:rPr>
                <w:rFonts w:ascii="宋体" w:eastAsia="宋体" w:hAnsi="宋体" w:cs="宋体" w:hint="eastAsia"/>
                <w:color w:val="000000"/>
                <w:kern w:val="0"/>
                <w:sz w:val="18"/>
                <w:szCs w:val="18"/>
              </w:rPr>
              <w:t>生产批号</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055E" w:rsidRDefault="0014055E" w:rsidP="0014055E">
            <w:pPr>
              <w:widowControl/>
              <w:ind w:firstLine="360"/>
              <w:jc w:val="left"/>
              <w:textAlignment w:val="bottom"/>
              <w:rPr>
                <w:rFonts w:ascii="宋体" w:hAnsi="宋体" w:cs="宋体"/>
                <w:color w:val="000000"/>
                <w:sz w:val="18"/>
                <w:szCs w:val="18"/>
              </w:rPr>
            </w:pPr>
            <w:r>
              <w:rPr>
                <w:rFonts w:ascii="宋体" w:eastAsia="宋体" w:hAnsi="宋体" w:cs="宋体" w:hint="eastAsia"/>
                <w:color w:val="000000"/>
                <w:kern w:val="0"/>
                <w:sz w:val="18"/>
                <w:szCs w:val="18"/>
              </w:rPr>
              <w:t>用法用量</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055E" w:rsidRDefault="0014055E" w:rsidP="0014055E">
            <w:pPr>
              <w:widowControl/>
              <w:ind w:firstLine="360"/>
              <w:jc w:val="left"/>
              <w:textAlignment w:val="bottom"/>
              <w:rPr>
                <w:rFonts w:ascii="宋体" w:hAnsi="宋体" w:cs="宋体"/>
                <w:color w:val="000000"/>
                <w:sz w:val="18"/>
                <w:szCs w:val="18"/>
              </w:rPr>
            </w:pPr>
            <w:r>
              <w:rPr>
                <w:rFonts w:ascii="宋体" w:eastAsia="宋体" w:hAnsi="宋体" w:cs="宋体" w:hint="eastAsia"/>
                <w:color w:val="000000"/>
                <w:kern w:val="0"/>
                <w:sz w:val="18"/>
                <w:szCs w:val="18"/>
              </w:rPr>
              <w:t>生产厂家</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055E" w:rsidRDefault="0014055E" w:rsidP="0014055E">
            <w:pPr>
              <w:widowControl/>
              <w:jc w:val="left"/>
              <w:textAlignment w:val="bottom"/>
              <w:rPr>
                <w:rFonts w:ascii="宋体" w:hAnsi="宋体" w:cs="宋体"/>
                <w:color w:val="000000"/>
                <w:sz w:val="18"/>
                <w:szCs w:val="18"/>
              </w:rPr>
            </w:pPr>
            <w:r>
              <w:rPr>
                <w:rFonts w:ascii="宋体" w:eastAsia="宋体" w:hAnsi="宋体" w:cs="宋体" w:hint="eastAsia"/>
                <w:color w:val="000000"/>
                <w:kern w:val="0"/>
                <w:sz w:val="18"/>
                <w:szCs w:val="18"/>
              </w:rPr>
              <w:t>不良反应事件名称</w:t>
            </w:r>
          </w:p>
        </w:tc>
      </w:tr>
      <w:tr w:rsidR="0014055E" w:rsidTr="0014055E">
        <w:trPr>
          <w:trHeight w:val="1192"/>
        </w:trPr>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舒肝宁注射液；葡萄糖注射液</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ind w:firstLine="360"/>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2ml；250ml</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20171118；1711021333</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10ml.qd；250ml.qd</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贵州瑞和制药有限公司；辰欣药业股份有限公司</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瘙痒，局部皮肤反应</w:t>
            </w:r>
          </w:p>
        </w:tc>
      </w:tr>
      <w:tr w:rsidR="0014055E" w:rsidTr="0014055E">
        <w:trPr>
          <w:trHeight w:val="837"/>
        </w:trPr>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rPr>
              <w:t>米非司酮片；</w:t>
            </w:r>
          </w:p>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米索前列醇片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ind w:leftChars="75" w:left="240"/>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25mg*6片；0.2mg*3片</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43170506；43170607</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2片.qd；3片.qd</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华润紫竹药业有限公司</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ind w:firstLine="360"/>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流产不全</w:t>
            </w:r>
            <w:r>
              <w:rPr>
                <w:rFonts w:ascii="宋体" w:hAnsi="宋体" w:cs="宋体" w:hint="eastAsia"/>
                <w:color w:val="000000"/>
                <w:kern w:val="0"/>
                <w:sz w:val="18"/>
                <w:szCs w:val="18"/>
              </w:rPr>
              <w:t>*4</w:t>
            </w:r>
          </w:p>
        </w:tc>
      </w:tr>
      <w:tr w:rsidR="0014055E" w:rsidTr="0014055E">
        <w:trPr>
          <w:trHeight w:val="782"/>
        </w:trPr>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注射用头孢曲松钠；氯化钠注射液</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ind w:firstLine="360"/>
              <w:jc w:val="center"/>
              <w:textAlignment w:val="center"/>
              <w:rPr>
                <w:rFonts w:ascii="宋体" w:hAnsi="宋体" w:cs="宋体"/>
                <w:color w:val="000000"/>
                <w:sz w:val="18"/>
                <w:szCs w:val="18"/>
              </w:rPr>
            </w:pPr>
            <w:r>
              <w:rPr>
                <w:rFonts w:ascii="宋体" w:eastAsia="宋体" w:hAnsi="宋体" w:cs="宋体" w:hint="eastAsia"/>
                <w:color w:val="000000"/>
                <w:kern w:val="0"/>
                <w:sz w:val="18"/>
                <w:szCs w:val="18"/>
              </w:rPr>
              <w:t>1.0g；100ml</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N171203；1803272723</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2g.qd；100ml.qd</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国药集团致君（深圳）制药有限公司；辰欣药业股份有限公司</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ind w:firstLine="360"/>
              <w:jc w:val="left"/>
              <w:textAlignment w:val="center"/>
              <w:rPr>
                <w:rFonts w:ascii="宋体" w:hAnsi="宋体" w:cs="宋体"/>
                <w:color w:val="000000"/>
                <w:sz w:val="18"/>
                <w:szCs w:val="18"/>
              </w:rPr>
            </w:pPr>
            <w:r>
              <w:rPr>
                <w:rFonts w:ascii="宋体" w:eastAsia="宋体" w:hAnsi="宋体" w:cs="宋体" w:hint="eastAsia"/>
                <w:color w:val="000000"/>
                <w:kern w:val="0"/>
                <w:sz w:val="18"/>
                <w:szCs w:val="18"/>
              </w:rPr>
              <w:t>眼睑水肿</w:t>
            </w:r>
          </w:p>
        </w:tc>
      </w:tr>
      <w:tr w:rsidR="0014055E" w:rsidTr="0014055E">
        <w:trPr>
          <w:trHeight w:val="1190"/>
        </w:trPr>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rPr>
              <w:t>注射用头孢曲松钠；氯化钠注射液</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ind w:firstLine="360"/>
              <w:jc w:val="center"/>
              <w:textAlignment w:val="center"/>
              <w:rPr>
                <w:rFonts w:ascii="宋体" w:hAnsi="宋体" w:cs="宋体"/>
                <w:color w:val="000000"/>
                <w:kern w:val="0"/>
                <w:sz w:val="18"/>
                <w:szCs w:val="18"/>
              </w:rPr>
            </w:pPr>
            <w:r>
              <w:rPr>
                <w:rFonts w:ascii="宋体" w:eastAsia="宋体" w:hAnsi="宋体" w:cs="宋体" w:hint="eastAsia"/>
                <w:color w:val="000000"/>
                <w:kern w:val="0"/>
                <w:sz w:val="18"/>
                <w:szCs w:val="18"/>
              </w:rPr>
              <w:t>1.0g；100ml</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rPr>
              <w:t>K180304；1803272723</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rPr>
              <w:t>2g.bid；100ml.bid</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rPr>
              <w:t>国药集团致君（深圳）制药有限公司；辰欣药业股份有限公司</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5E" w:rsidRDefault="0014055E" w:rsidP="0014055E">
            <w:pPr>
              <w:widowControl/>
              <w:spacing w:line="240" w:lineRule="atLeast"/>
              <w:ind w:firstLine="360"/>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rPr>
              <w:t>恶心</w:t>
            </w:r>
          </w:p>
        </w:tc>
      </w:tr>
    </w:tbl>
    <w:p w:rsidR="00185404" w:rsidRDefault="00185404">
      <w:pPr>
        <w:sectPr w:rsidR="00185404">
          <w:pgSz w:w="11906" w:h="16838"/>
          <w:pgMar w:top="1440" w:right="1800" w:bottom="1440" w:left="1800" w:header="851" w:footer="992" w:gutter="0"/>
          <w:cols w:space="425"/>
          <w:docGrid w:type="lines" w:linePitch="312"/>
        </w:sectPr>
      </w:pPr>
    </w:p>
    <w:p w:rsidR="0014055E" w:rsidRDefault="00185404">
      <w:r>
        <w:rPr>
          <w:rFonts w:hint="eastAsia"/>
        </w:rPr>
        <w:lastRenderedPageBreak/>
        <w:t>【新药信息】</w:t>
      </w:r>
    </w:p>
    <w:p w:rsidR="00185404" w:rsidRPr="00185404" w:rsidRDefault="00185404" w:rsidP="002E687D">
      <w:pPr>
        <w:widowControl/>
        <w:shd w:val="clear" w:color="auto" w:fill="FFFFFF"/>
        <w:spacing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通用名称：瑞巴派特片</w:t>
      </w:r>
      <w:r w:rsidRPr="00185404">
        <w:rPr>
          <w:rFonts w:ascii="Helvetica" w:eastAsia="宋体" w:hAnsi="Helvetica" w:cs="宋体"/>
          <w:color w:val="5F5F5F"/>
          <w:kern w:val="0"/>
          <w:sz w:val="20"/>
          <w:szCs w:val="20"/>
        </w:rPr>
        <w:br/>
      </w:r>
      <w:r w:rsidRPr="00185404">
        <w:rPr>
          <w:rFonts w:ascii="Helvetica" w:eastAsia="宋体" w:hAnsi="Helvetica" w:cs="宋体"/>
          <w:color w:val="5F5F5F"/>
          <w:kern w:val="0"/>
          <w:sz w:val="20"/>
          <w:szCs w:val="20"/>
        </w:rPr>
        <w:t>英文名称：</w:t>
      </w:r>
      <w:r>
        <w:rPr>
          <w:rFonts w:ascii="Helvetica" w:eastAsia="宋体" w:hAnsi="Helvetica" w:cs="宋体"/>
          <w:color w:val="5F5F5F"/>
          <w:kern w:val="0"/>
          <w:sz w:val="20"/>
          <w:szCs w:val="20"/>
        </w:rPr>
        <w:t>Rebamipide Tablets</w:t>
      </w:r>
    </w:p>
    <w:p w:rsidR="00185404" w:rsidRPr="00185404" w:rsidRDefault="00185404" w:rsidP="002E687D">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185404">
        <w:rPr>
          <w:rFonts w:ascii="Helvetica" w:eastAsia="宋体" w:hAnsi="Helvetica" w:cs="宋体"/>
          <w:b/>
          <w:bCs/>
          <w:color w:val="545454"/>
          <w:kern w:val="0"/>
          <w:sz w:val="21"/>
        </w:rPr>
        <w:t>成份</w:t>
      </w:r>
      <w:r w:rsidRPr="00185404">
        <w:rPr>
          <w:rFonts w:ascii="Helvetica" w:eastAsia="宋体" w:hAnsi="Helvetica" w:cs="宋体"/>
          <w:b/>
          <w:bCs/>
          <w:color w:val="545454"/>
          <w:kern w:val="0"/>
          <w:sz w:val="21"/>
        </w:rPr>
        <w:t>:</w:t>
      </w:r>
    </w:p>
    <w:p w:rsidR="00185404" w:rsidRPr="00185404" w:rsidRDefault="00185404" w:rsidP="002E687D">
      <w:pPr>
        <w:widowControl/>
        <w:shd w:val="clear" w:color="auto" w:fill="FFFFFF"/>
        <w:spacing w:after="375"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主要成份为瑞巴派特。</w:t>
      </w:r>
    </w:p>
    <w:p w:rsidR="00185404" w:rsidRPr="00185404" w:rsidRDefault="00185404" w:rsidP="002E687D">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185404">
        <w:rPr>
          <w:rFonts w:ascii="Helvetica" w:eastAsia="宋体" w:hAnsi="Helvetica" w:cs="宋体"/>
          <w:b/>
          <w:bCs/>
          <w:color w:val="545454"/>
          <w:kern w:val="0"/>
          <w:sz w:val="21"/>
        </w:rPr>
        <w:t>适应症</w:t>
      </w:r>
      <w:r w:rsidRPr="00185404">
        <w:rPr>
          <w:rFonts w:ascii="Helvetica" w:eastAsia="宋体" w:hAnsi="Helvetica" w:cs="宋体"/>
          <w:b/>
          <w:bCs/>
          <w:color w:val="545454"/>
          <w:kern w:val="0"/>
          <w:sz w:val="21"/>
        </w:rPr>
        <w:t>:</w:t>
      </w:r>
    </w:p>
    <w:p w:rsidR="00185404" w:rsidRPr="00185404" w:rsidRDefault="00185404" w:rsidP="002E687D">
      <w:pPr>
        <w:widowControl/>
        <w:numPr>
          <w:ilvl w:val="0"/>
          <w:numId w:val="1"/>
        </w:numPr>
        <w:shd w:val="clear" w:color="auto" w:fill="FFFFFF"/>
        <w:spacing w:before="120" w:after="120" w:line="220" w:lineRule="exact"/>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胃溃疡</w:t>
      </w:r>
    </w:p>
    <w:p w:rsidR="00185404" w:rsidRPr="00185404" w:rsidRDefault="00185404" w:rsidP="002E687D">
      <w:pPr>
        <w:widowControl/>
        <w:numPr>
          <w:ilvl w:val="0"/>
          <w:numId w:val="1"/>
        </w:numPr>
        <w:shd w:val="clear" w:color="auto" w:fill="FFFFFF"/>
        <w:spacing w:before="120" w:after="120" w:line="220" w:lineRule="exact"/>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急性胃炎、慢性胃炎的急性加重期胃粘膜病变</w:t>
      </w:r>
      <w:r w:rsidRPr="00185404">
        <w:rPr>
          <w:rFonts w:ascii="Helvetica" w:eastAsia="宋体" w:hAnsi="Helvetica" w:cs="宋体"/>
          <w:color w:val="5F5F5F"/>
          <w:kern w:val="0"/>
          <w:sz w:val="20"/>
          <w:szCs w:val="20"/>
        </w:rPr>
        <w:t xml:space="preserve"> (</w:t>
      </w:r>
      <w:r w:rsidRPr="00185404">
        <w:rPr>
          <w:rFonts w:ascii="Helvetica" w:eastAsia="宋体" w:hAnsi="Helvetica" w:cs="宋体"/>
          <w:color w:val="5F5F5F"/>
          <w:kern w:val="0"/>
          <w:sz w:val="20"/>
          <w:szCs w:val="20"/>
        </w:rPr>
        <w:t>糜烂、出血、充血、水肿</w:t>
      </w:r>
      <w:r w:rsidRPr="00185404">
        <w:rPr>
          <w:rFonts w:ascii="Helvetica" w:eastAsia="宋体" w:hAnsi="Helvetica" w:cs="宋体"/>
          <w:color w:val="5F5F5F"/>
          <w:kern w:val="0"/>
          <w:sz w:val="20"/>
          <w:szCs w:val="20"/>
        </w:rPr>
        <w:t xml:space="preserve">) </w:t>
      </w:r>
      <w:r w:rsidRPr="00185404">
        <w:rPr>
          <w:rFonts w:ascii="Helvetica" w:eastAsia="宋体" w:hAnsi="Helvetica" w:cs="宋体"/>
          <w:color w:val="5F5F5F"/>
          <w:kern w:val="0"/>
          <w:sz w:val="20"/>
          <w:szCs w:val="20"/>
        </w:rPr>
        <w:t>的改善</w:t>
      </w:r>
    </w:p>
    <w:p w:rsidR="00185404" w:rsidRPr="00185404" w:rsidRDefault="00185404" w:rsidP="002E687D">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185404">
        <w:rPr>
          <w:rFonts w:ascii="Helvetica" w:eastAsia="宋体" w:hAnsi="Helvetica" w:cs="宋体"/>
          <w:b/>
          <w:bCs/>
          <w:color w:val="545454"/>
          <w:kern w:val="0"/>
          <w:sz w:val="21"/>
        </w:rPr>
        <w:t>用法用量</w:t>
      </w:r>
      <w:r w:rsidRPr="00185404">
        <w:rPr>
          <w:rFonts w:ascii="Helvetica" w:eastAsia="宋体" w:hAnsi="Helvetica" w:cs="宋体"/>
          <w:b/>
          <w:bCs/>
          <w:color w:val="545454"/>
          <w:kern w:val="0"/>
          <w:sz w:val="21"/>
        </w:rPr>
        <w:t>:</w:t>
      </w:r>
    </w:p>
    <w:p w:rsidR="00185404" w:rsidRPr="00185404" w:rsidRDefault="00185404" w:rsidP="002E687D">
      <w:pPr>
        <w:widowControl/>
        <w:numPr>
          <w:ilvl w:val="0"/>
          <w:numId w:val="2"/>
        </w:numPr>
        <w:shd w:val="clear" w:color="auto" w:fill="FFFFFF"/>
        <w:spacing w:line="220" w:lineRule="exact"/>
        <w:jc w:val="left"/>
        <w:rPr>
          <w:rFonts w:ascii="Helvetica" w:eastAsia="宋体" w:hAnsi="Helvetica" w:cs="宋体"/>
          <w:color w:val="5F5F5F"/>
          <w:kern w:val="0"/>
          <w:sz w:val="20"/>
          <w:szCs w:val="20"/>
        </w:rPr>
      </w:pPr>
      <w:r w:rsidRPr="00185404">
        <w:rPr>
          <w:rFonts w:ascii="Helvetica" w:eastAsia="宋体" w:hAnsi="Helvetica" w:cs="宋体"/>
          <w:b/>
          <w:bCs/>
          <w:color w:val="5F5F5F"/>
          <w:kern w:val="0"/>
          <w:sz w:val="20"/>
        </w:rPr>
        <w:t>胃溃疡</w:t>
      </w:r>
    </w:p>
    <w:p w:rsidR="00185404" w:rsidRPr="00185404" w:rsidRDefault="00185404" w:rsidP="002E687D">
      <w:pPr>
        <w:widowControl/>
        <w:shd w:val="clear" w:color="auto" w:fill="FFFFFF"/>
        <w:spacing w:before="120" w:after="120"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通常成人一次</w:t>
      </w:r>
      <w:r w:rsidRPr="00185404">
        <w:rPr>
          <w:rFonts w:ascii="Helvetica" w:eastAsia="宋体" w:hAnsi="Helvetica" w:cs="宋体"/>
          <w:color w:val="5F5F5F"/>
          <w:kern w:val="0"/>
          <w:sz w:val="20"/>
          <w:szCs w:val="20"/>
        </w:rPr>
        <w:t>0.1g</w:t>
      </w: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1</w:t>
      </w:r>
      <w:r w:rsidRPr="00185404">
        <w:rPr>
          <w:rFonts w:ascii="Helvetica" w:eastAsia="宋体" w:hAnsi="Helvetica" w:cs="宋体"/>
          <w:color w:val="5F5F5F"/>
          <w:kern w:val="0"/>
          <w:sz w:val="20"/>
          <w:szCs w:val="20"/>
        </w:rPr>
        <w:t>片），一天</w:t>
      </w:r>
      <w:r w:rsidRPr="00185404">
        <w:rPr>
          <w:rFonts w:ascii="Helvetica" w:eastAsia="宋体" w:hAnsi="Helvetica" w:cs="宋体"/>
          <w:color w:val="5F5F5F"/>
          <w:kern w:val="0"/>
          <w:sz w:val="20"/>
          <w:szCs w:val="20"/>
        </w:rPr>
        <w:t>3</w:t>
      </w:r>
      <w:r w:rsidRPr="00185404">
        <w:rPr>
          <w:rFonts w:ascii="Helvetica" w:eastAsia="宋体" w:hAnsi="Helvetica" w:cs="宋体"/>
          <w:color w:val="5F5F5F"/>
          <w:kern w:val="0"/>
          <w:sz w:val="20"/>
          <w:szCs w:val="20"/>
        </w:rPr>
        <w:t>次，早、晚及睡前口服。</w:t>
      </w:r>
    </w:p>
    <w:p w:rsidR="00185404" w:rsidRPr="00185404" w:rsidRDefault="00185404" w:rsidP="002E687D">
      <w:pPr>
        <w:widowControl/>
        <w:numPr>
          <w:ilvl w:val="0"/>
          <w:numId w:val="2"/>
        </w:numPr>
        <w:shd w:val="clear" w:color="auto" w:fill="FFFFFF"/>
        <w:spacing w:before="120" w:after="120" w:line="220" w:lineRule="exact"/>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急性胃炎、慢性胃炎的急性加重期胃粘膜病变</w:t>
      </w: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糜烂、出血、充血、水肿</w:t>
      </w: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的改善通常成人一次</w:t>
      </w:r>
      <w:r w:rsidRPr="00185404">
        <w:rPr>
          <w:rFonts w:ascii="Helvetica" w:eastAsia="宋体" w:hAnsi="Helvetica" w:cs="宋体"/>
          <w:color w:val="5F5F5F"/>
          <w:kern w:val="0"/>
          <w:sz w:val="20"/>
          <w:szCs w:val="20"/>
        </w:rPr>
        <w:t>0.1g</w:t>
      </w: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1</w:t>
      </w:r>
      <w:r w:rsidRPr="00185404">
        <w:rPr>
          <w:rFonts w:ascii="Helvetica" w:eastAsia="宋体" w:hAnsi="Helvetica" w:cs="宋体"/>
          <w:color w:val="5F5F5F"/>
          <w:kern w:val="0"/>
          <w:sz w:val="20"/>
          <w:szCs w:val="20"/>
        </w:rPr>
        <w:t>片），一天</w:t>
      </w:r>
      <w:r w:rsidRPr="00185404">
        <w:rPr>
          <w:rFonts w:ascii="Helvetica" w:eastAsia="宋体" w:hAnsi="Helvetica" w:cs="宋体"/>
          <w:color w:val="5F5F5F"/>
          <w:kern w:val="0"/>
          <w:sz w:val="20"/>
          <w:szCs w:val="20"/>
        </w:rPr>
        <w:t>3</w:t>
      </w:r>
      <w:r w:rsidRPr="00185404">
        <w:rPr>
          <w:rFonts w:ascii="Helvetica" w:eastAsia="宋体" w:hAnsi="Helvetica" w:cs="宋体"/>
          <w:color w:val="5F5F5F"/>
          <w:kern w:val="0"/>
          <w:sz w:val="20"/>
          <w:szCs w:val="20"/>
        </w:rPr>
        <w:t>次，口服。</w:t>
      </w:r>
    </w:p>
    <w:p w:rsidR="00185404" w:rsidRPr="00185404" w:rsidRDefault="00185404" w:rsidP="002E687D">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185404">
        <w:rPr>
          <w:rFonts w:ascii="Helvetica" w:eastAsia="宋体" w:hAnsi="Helvetica" w:cs="宋体"/>
          <w:b/>
          <w:bCs/>
          <w:color w:val="545454"/>
          <w:kern w:val="0"/>
          <w:sz w:val="21"/>
        </w:rPr>
        <w:t>不良反应</w:t>
      </w:r>
      <w:r w:rsidRPr="00185404">
        <w:rPr>
          <w:rFonts w:ascii="Helvetica" w:eastAsia="宋体" w:hAnsi="Helvetica" w:cs="宋体"/>
          <w:b/>
          <w:bCs/>
          <w:color w:val="545454"/>
          <w:kern w:val="0"/>
          <w:sz w:val="21"/>
        </w:rPr>
        <w:t>:</w:t>
      </w:r>
    </w:p>
    <w:p w:rsidR="00185404" w:rsidRPr="00185404" w:rsidRDefault="00185404" w:rsidP="002E687D">
      <w:pPr>
        <w:widowControl/>
        <w:shd w:val="clear" w:color="auto" w:fill="FFFFFF"/>
        <w:spacing w:before="120" w:after="120"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据国外文献报道：</w:t>
      </w:r>
    </w:p>
    <w:p w:rsidR="00185404" w:rsidRPr="00185404" w:rsidRDefault="00185404" w:rsidP="002E687D">
      <w:pPr>
        <w:widowControl/>
        <w:shd w:val="clear" w:color="auto" w:fill="FFFFFF"/>
        <w:spacing w:before="120" w:after="120"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在被调查的</w:t>
      </w:r>
      <w:r w:rsidRPr="00185404">
        <w:rPr>
          <w:rFonts w:ascii="Helvetica" w:eastAsia="宋体" w:hAnsi="Helvetica" w:cs="宋体"/>
          <w:color w:val="5F5F5F"/>
          <w:kern w:val="0"/>
          <w:sz w:val="20"/>
          <w:szCs w:val="20"/>
        </w:rPr>
        <w:t>10047</w:t>
      </w:r>
      <w:r w:rsidRPr="00185404">
        <w:rPr>
          <w:rFonts w:ascii="Helvetica" w:eastAsia="宋体" w:hAnsi="Helvetica" w:cs="宋体"/>
          <w:color w:val="5F5F5F"/>
          <w:kern w:val="0"/>
          <w:sz w:val="20"/>
          <w:szCs w:val="20"/>
        </w:rPr>
        <w:t>例病例中有</w:t>
      </w:r>
      <w:r w:rsidRPr="00185404">
        <w:rPr>
          <w:rFonts w:ascii="Helvetica" w:eastAsia="宋体" w:hAnsi="Helvetica" w:cs="宋体"/>
          <w:color w:val="5F5F5F"/>
          <w:kern w:val="0"/>
          <w:sz w:val="20"/>
          <w:szCs w:val="20"/>
        </w:rPr>
        <w:t>54</w:t>
      </w:r>
      <w:r w:rsidRPr="00185404">
        <w:rPr>
          <w:rFonts w:ascii="Helvetica" w:eastAsia="宋体" w:hAnsi="Helvetica" w:cs="宋体"/>
          <w:color w:val="5F5F5F"/>
          <w:kern w:val="0"/>
          <w:sz w:val="20"/>
          <w:szCs w:val="20"/>
        </w:rPr>
        <w:t>例（</w:t>
      </w:r>
      <w:r w:rsidRPr="00185404">
        <w:rPr>
          <w:rFonts w:ascii="Helvetica" w:eastAsia="宋体" w:hAnsi="Helvetica" w:cs="宋体"/>
          <w:color w:val="5F5F5F"/>
          <w:kern w:val="0"/>
          <w:sz w:val="20"/>
          <w:szCs w:val="20"/>
        </w:rPr>
        <w:t>0.54%</w:t>
      </w:r>
      <w:r w:rsidRPr="00185404">
        <w:rPr>
          <w:rFonts w:ascii="Helvetica" w:eastAsia="宋体" w:hAnsi="Helvetica" w:cs="宋体"/>
          <w:color w:val="5F5F5F"/>
          <w:kern w:val="0"/>
          <w:sz w:val="20"/>
          <w:szCs w:val="20"/>
        </w:rPr>
        <w:t>）出现了包括临床检验值异常在内的副作用。其中</w:t>
      </w:r>
      <w:r w:rsidRPr="00185404">
        <w:rPr>
          <w:rFonts w:ascii="Helvetica" w:eastAsia="宋体" w:hAnsi="Helvetica" w:cs="宋体"/>
          <w:color w:val="5F5F5F"/>
          <w:kern w:val="0"/>
          <w:sz w:val="20"/>
          <w:szCs w:val="20"/>
        </w:rPr>
        <w:t>65</w:t>
      </w:r>
      <w:r w:rsidRPr="00185404">
        <w:rPr>
          <w:rFonts w:ascii="Helvetica" w:eastAsia="宋体" w:hAnsi="Helvetica" w:cs="宋体"/>
          <w:color w:val="5F5F5F"/>
          <w:kern w:val="0"/>
          <w:sz w:val="20"/>
          <w:szCs w:val="20"/>
        </w:rPr>
        <w:t>岁以上的老年患者</w:t>
      </w:r>
      <w:r w:rsidRPr="00185404">
        <w:rPr>
          <w:rFonts w:ascii="Helvetica" w:eastAsia="宋体" w:hAnsi="Helvetica" w:cs="宋体"/>
          <w:color w:val="5F5F5F"/>
          <w:kern w:val="0"/>
          <w:sz w:val="20"/>
          <w:szCs w:val="20"/>
        </w:rPr>
        <w:t>3035</w:t>
      </w:r>
      <w:r w:rsidRPr="00185404">
        <w:rPr>
          <w:rFonts w:ascii="Helvetica" w:eastAsia="宋体" w:hAnsi="Helvetica" w:cs="宋体"/>
          <w:color w:val="5F5F5F"/>
          <w:kern w:val="0"/>
          <w:sz w:val="20"/>
          <w:szCs w:val="20"/>
        </w:rPr>
        <w:t>例中有</w:t>
      </w:r>
      <w:r w:rsidRPr="00185404">
        <w:rPr>
          <w:rFonts w:ascii="Helvetica" w:eastAsia="宋体" w:hAnsi="Helvetica" w:cs="宋体"/>
          <w:color w:val="5F5F5F"/>
          <w:kern w:val="0"/>
          <w:sz w:val="20"/>
          <w:szCs w:val="20"/>
        </w:rPr>
        <w:t>18</w:t>
      </w:r>
      <w:r w:rsidRPr="00185404">
        <w:rPr>
          <w:rFonts w:ascii="Helvetica" w:eastAsia="宋体" w:hAnsi="Helvetica" w:cs="宋体"/>
          <w:color w:val="5F5F5F"/>
          <w:kern w:val="0"/>
          <w:sz w:val="20"/>
          <w:szCs w:val="20"/>
        </w:rPr>
        <w:t>例（</w:t>
      </w:r>
      <w:r w:rsidRPr="00185404">
        <w:rPr>
          <w:rFonts w:ascii="Helvetica" w:eastAsia="宋体" w:hAnsi="Helvetica" w:cs="宋体"/>
          <w:color w:val="5F5F5F"/>
          <w:kern w:val="0"/>
          <w:sz w:val="20"/>
          <w:szCs w:val="20"/>
        </w:rPr>
        <w:t>0.59%</w:t>
      </w:r>
      <w:r w:rsidRPr="00185404">
        <w:rPr>
          <w:rFonts w:ascii="Helvetica" w:eastAsia="宋体" w:hAnsi="Helvetica" w:cs="宋体"/>
          <w:color w:val="5F5F5F"/>
          <w:kern w:val="0"/>
          <w:sz w:val="20"/>
          <w:szCs w:val="20"/>
        </w:rPr>
        <w:t>）出现了副作用。在副作用的种类，发生率方面未显示老年人与非老年人间的差异。</w:t>
      </w:r>
    </w:p>
    <w:p w:rsidR="00185404" w:rsidRPr="00185404" w:rsidRDefault="00185404" w:rsidP="002E687D">
      <w:pPr>
        <w:widowControl/>
        <w:numPr>
          <w:ilvl w:val="0"/>
          <w:numId w:val="3"/>
        </w:numPr>
        <w:shd w:val="clear" w:color="auto" w:fill="FFFFFF"/>
        <w:spacing w:line="220" w:lineRule="exact"/>
        <w:jc w:val="left"/>
        <w:rPr>
          <w:rFonts w:ascii="Helvetica" w:eastAsia="宋体" w:hAnsi="Helvetica" w:cs="宋体"/>
          <w:color w:val="5F5F5F"/>
          <w:kern w:val="0"/>
          <w:sz w:val="20"/>
          <w:szCs w:val="20"/>
        </w:rPr>
      </w:pPr>
      <w:r w:rsidRPr="00185404">
        <w:rPr>
          <w:rFonts w:ascii="Helvetica" w:eastAsia="宋体" w:hAnsi="Helvetica" w:cs="宋体"/>
          <w:b/>
          <w:bCs/>
          <w:color w:val="5F5F5F"/>
          <w:kern w:val="0"/>
          <w:sz w:val="20"/>
        </w:rPr>
        <w:t>严重不良反应</w:t>
      </w:r>
    </w:p>
    <w:p w:rsidR="00185404" w:rsidRPr="00185404" w:rsidRDefault="00185404" w:rsidP="002E687D">
      <w:pPr>
        <w:widowControl/>
        <w:numPr>
          <w:ilvl w:val="1"/>
          <w:numId w:val="3"/>
        </w:numPr>
        <w:shd w:val="clear" w:color="auto" w:fill="FFFFFF"/>
        <w:spacing w:before="120" w:after="120" w:line="220" w:lineRule="exact"/>
        <w:ind w:left="96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白细胞减少（</w:t>
      </w:r>
      <w:r w:rsidRPr="00185404">
        <w:rPr>
          <w:rFonts w:ascii="Helvetica" w:eastAsia="宋体" w:hAnsi="Helvetica" w:cs="宋体"/>
          <w:color w:val="5F5F5F"/>
          <w:kern w:val="0"/>
          <w:sz w:val="20"/>
          <w:szCs w:val="20"/>
        </w:rPr>
        <w:t>0.1%</w:t>
      </w:r>
      <w:r w:rsidRPr="00185404">
        <w:rPr>
          <w:rFonts w:ascii="Helvetica" w:eastAsia="宋体" w:hAnsi="Helvetica" w:cs="宋体"/>
          <w:color w:val="5F5F5F"/>
          <w:kern w:val="0"/>
          <w:sz w:val="20"/>
          <w:szCs w:val="20"/>
        </w:rPr>
        <w:t>以下）、血小板减少</w:t>
      </w:r>
      <w:r w:rsidRPr="00185404">
        <w:rPr>
          <w:rFonts w:ascii="Helvetica" w:eastAsia="宋体" w:hAnsi="Helvetica" w:cs="宋体"/>
          <w:color w:val="5F5F5F"/>
          <w:kern w:val="0"/>
          <w:sz w:val="20"/>
          <w:szCs w:val="20"/>
        </w:rPr>
        <w:t xml:space="preserve"> </w:t>
      </w:r>
      <w:r w:rsidRPr="00185404">
        <w:rPr>
          <w:rFonts w:ascii="Helvetica" w:eastAsia="宋体" w:hAnsi="Helvetica" w:cs="宋体"/>
          <w:color w:val="5F5F5F"/>
          <w:kern w:val="0"/>
          <w:sz w:val="20"/>
          <w:szCs w:val="20"/>
        </w:rPr>
        <w:t>（频度不明</w:t>
      </w: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）：有时出现白细胞减少、血小板减少，这时应充分进行观察，发现异常时，应中止给药，做适当处理。</w:t>
      </w:r>
    </w:p>
    <w:p w:rsidR="00185404" w:rsidRPr="00185404" w:rsidRDefault="00185404" w:rsidP="002E687D">
      <w:pPr>
        <w:widowControl/>
        <w:numPr>
          <w:ilvl w:val="1"/>
          <w:numId w:val="3"/>
        </w:numPr>
        <w:shd w:val="clear" w:color="auto" w:fill="FFFFFF"/>
        <w:spacing w:before="120" w:after="120" w:line="220" w:lineRule="exact"/>
        <w:ind w:left="96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肝功能障碍（</w:t>
      </w:r>
      <w:r w:rsidRPr="00185404">
        <w:rPr>
          <w:rFonts w:ascii="Helvetica" w:eastAsia="宋体" w:hAnsi="Helvetica" w:cs="宋体"/>
          <w:color w:val="5F5F5F"/>
          <w:kern w:val="0"/>
          <w:sz w:val="20"/>
          <w:szCs w:val="20"/>
        </w:rPr>
        <w:t>0.1%</w:t>
      </w:r>
      <w:r w:rsidRPr="00185404">
        <w:rPr>
          <w:rFonts w:ascii="Helvetica" w:eastAsia="宋体" w:hAnsi="Helvetica" w:cs="宋体"/>
          <w:color w:val="5F5F5F"/>
          <w:kern w:val="0"/>
          <w:sz w:val="20"/>
          <w:szCs w:val="20"/>
        </w:rPr>
        <w:t>以下）、黄疸</w:t>
      </w:r>
      <w:r w:rsidRPr="00185404">
        <w:rPr>
          <w:rFonts w:ascii="Helvetica" w:eastAsia="宋体" w:hAnsi="Helvetica" w:cs="宋体"/>
          <w:color w:val="5F5F5F"/>
          <w:kern w:val="0"/>
          <w:sz w:val="20"/>
          <w:szCs w:val="20"/>
        </w:rPr>
        <w:t xml:space="preserve"> (</w:t>
      </w:r>
      <w:r w:rsidRPr="00185404">
        <w:rPr>
          <w:rFonts w:ascii="Helvetica" w:eastAsia="宋体" w:hAnsi="Helvetica" w:cs="宋体"/>
          <w:color w:val="5F5F5F"/>
          <w:kern w:val="0"/>
          <w:sz w:val="20"/>
          <w:szCs w:val="20"/>
        </w:rPr>
        <w:t>频度不明</w:t>
      </w: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：有时出现伴随</w:t>
      </w:r>
      <w:r w:rsidRPr="00185404">
        <w:rPr>
          <w:rFonts w:ascii="Helvetica" w:eastAsia="宋体" w:hAnsi="Helvetica" w:cs="宋体"/>
          <w:color w:val="5F5F5F"/>
          <w:kern w:val="0"/>
          <w:sz w:val="20"/>
          <w:szCs w:val="20"/>
        </w:rPr>
        <w:t>GOT</w:t>
      </w: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GPT</w:t>
      </w: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γ-GTP</w:t>
      </w: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AL-P</w:t>
      </w:r>
      <w:r w:rsidRPr="00185404">
        <w:rPr>
          <w:rFonts w:ascii="Helvetica" w:eastAsia="宋体" w:hAnsi="Helvetica" w:cs="宋体"/>
          <w:color w:val="5F5F5F"/>
          <w:kern w:val="0"/>
          <w:sz w:val="20"/>
          <w:szCs w:val="20"/>
        </w:rPr>
        <w:t>上升等肝功能障碍、黄疸，这时应充分进行观察，发现异常时，应中止给药，做适当处理。</w:t>
      </w:r>
    </w:p>
    <w:p w:rsidR="00185404" w:rsidRPr="00185404" w:rsidRDefault="00185404" w:rsidP="002E687D">
      <w:pPr>
        <w:widowControl/>
        <w:numPr>
          <w:ilvl w:val="0"/>
          <w:numId w:val="3"/>
        </w:numPr>
        <w:shd w:val="clear" w:color="auto" w:fill="FFFFFF"/>
        <w:spacing w:line="220" w:lineRule="exact"/>
        <w:jc w:val="left"/>
        <w:rPr>
          <w:rFonts w:ascii="Helvetica" w:eastAsia="宋体" w:hAnsi="Helvetica" w:cs="宋体"/>
          <w:color w:val="5F5F5F"/>
          <w:kern w:val="0"/>
          <w:sz w:val="20"/>
          <w:szCs w:val="20"/>
        </w:rPr>
      </w:pPr>
      <w:r w:rsidRPr="00185404">
        <w:rPr>
          <w:rFonts w:ascii="Helvetica" w:eastAsia="宋体" w:hAnsi="Helvetica" w:cs="宋体"/>
          <w:b/>
          <w:bCs/>
          <w:color w:val="5F5F5F"/>
          <w:kern w:val="0"/>
          <w:sz w:val="20"/>
        </w:rPr>
        <w:t>一般不良反应</w:t>
      </w:r>
    </w:p>
    <w:p w:rsidR="00185404" w:rsidRPr="00185404" w:rsidRDefault="00185404" w:rsidP="002E687D">
      <w:pPr>
        <w:widowControl/>
        <w:shd w:val="clear" w:color="auto" w:fill="FFFFFF"/>
        <w:spacing w:before="120" w:after="120" w:line="220" w:lineRule="exact"/>
        <w:ind w:left="720"/>
        <w:jc w:val="left"/>
        <w:rPr>
          <w:rFonts w:ascii="Helvetica" w:eastAsia="宋体" w:hAnsi="Helvetica" w:cs="宋体"/>
          <w:color w:val="5F5F5F"/>
          <w:kern w:val="0"/>
          <w:sz w:val="20"/>
          <w:szCs w:val="20"/>
        </w:rPr>
      </w:pPr>
      <w:r>
        <w:rPr>
          <w:rFonts w:ascii="Helvetica" w:eastAsia="宋体" w:hAnsi="Helvetica" w:cs="宋体"/>
          <w:noProof/>
          <w:color w:val="5F5F5F"/>
          <w:kern w:val="0"/>
          <w:sz w:val="20"/>
          <w:szCs w:val="20"/>
        </w:rPr>
        <w:drawing>
          <wp:inline distT="0" distB="0" distL="0" distR="0">
            <wp:extent cx="1905000" cy="466725"/>
            <wp:effectExtent l="19050" t="0" r="0" b="0"/>
            <wp:docPr id="1" name="图片 1" descr="http://drugs.dxy.cn/image/2012/03/29/133298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ugs.dxy.cn/image/2012/03/29/1332985037.jpg"/>
                    <pic:cNvPicPr>
                      <a:picLocks noChangeAspect="1" noChangeArrowheads="1"/>
                    </pic:cNvPicPr>
                  </pic:nvPicPr>
                  <pic:blipFill>
                    <a:blip r:embed="rId11" cstate="print"/>
                    <a:srcRect/>
                    <a:stretch>
                      <a:fillRect/>
                    </a:stretch>
                  </pic:blipFill>
                  <pic:spPr bwMode="auto">
                    <a:xfrm>
                      <a:off x="0" y="0"/>
                      <a:ext cx="1905000" cy="466725"/>
                    </a:xfrm>
                    <a:prstGeom prst="rect">
                      <a:avLst/>
                    </a:prstGeom>
                    <a:noFill/>
                    <a:ln w="9525">
                      <a:noFill/>
                      <a:miter lim="800000"/>
                      <a:headEnd/>
                      <a:tailEnd/>
                    </a:ln>
                  </pic:spPr>
                </pic:pic>
              </a:graphicData>
            </a:graphic>
          </wp:inline>
        </w:drawing>
      </w:r>
    </w:p>
    <w:p w:rsidR="00185404" w:rsidRPr="00185404" w:rsidRDefault="00185404" w:rsidP="002E687D">
      <w:pPr>
        <w:widowControl/>
        <w:shd w:val="clear" w:color="auto" w:fill="FFFFFF"/>
        <w:spacing w:before="120" w:after="120"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注</w:t>
      </w:r>
      <w:r w:rsidRPr="00185404">
        <w:rPr>
          <w:rFonts w:ascii="Helvetica" w:eastAsia="宋体" w:hAnsi="Helvetica" w:cs="宋体"/>
          <w:color w:val="5F5F5F"/>
          <w:kern w:val="0"/>
          <w:sz w:val="20"/>
          <w:szCs w:val="20"/>
        </w:rPr>
        <w:t>1)</w:t>
      </w:r>
      <w:r w:rsidRPr="00185404">
        <w:rPr>
          <w:rFonts w:ascii="Helvetica" w:eastAsia="宋体" w:hAnsi="Helvetica" w:cs="宋体"/>
          <w:color w:val="5F5F5F"/>
          <w:kern w:val="0"/>
          <w:sz w:val="20"/>
          <w:szCs w:val="20"/>
        </w:rPr>
        <w:t>出现这样的症状时，停止给药。</w:t>
      </w:r>
    </w:p>
    <w:p w:rsidR="00185404" w:rsidRPr="00185404" w:rsidRDefault="00185404" w:rsidP="002E687D">
      <w:pPr>
        <w:widowControl/>
        <w:shd w:val="clear" w:color="auto" w:fill="FFFFFF"/>
        <w:spacing w:before="120" w:after="120"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注</w:t>
      </w:r>
      <w:r w:rsidRPr="00185404">
        <w:rPr>
          <w:rFonts w:ascii="Helvetica" w:eastAsia="宋体" w:hAnsi="Helvetica" w:cs="宋体"/>
          <w:color w:val="5F5F5F"/>
          <w:kern w:val="0"/>
          <w:sz w:val="20"/>
          <w:szCs w:val="20"/>
        </w:rPr>
        <w:t>2)</w:t>
      </w:r>
      <w:r w:rsidRPr="00185404">
        <w:rPr>
          <w:rFonts w:ascii="Helvetica" w:eastAsia="宋体" w:hAnsi="Helvetica" w:cs="宋体"/>
          <w:color w:val="5F5F5F"/>
          <w:kern w:val="0"/>
          <w:sz w:val="20"/>
          <w:szCs w:val="20"/>
        </w:rPr>
        <w:t>转氨酶显著上升，或同时出现发烧、出疹等症状时，停止服药，并采取适当的措施。</w:t>
      </w:r>
    </w:p>
    <w:p w:rsidR="00185404" w:rsidRPr="00185404" w:rsidRDefault="00185404" w:rsidP="002E687D">
      <w:pPr>
        <w:widowControl/>
        <w:shd w:val="clear" w:color="auto" w:fill="FFFFFF"/>
        <w:spacing w:before="120" w:after="120"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w:t>
      </w:r>
      <w:r w:rsidRPr="00185404">
        <w:rPr>
          <w:rFonts w:ascii="Helvetica" w:eastAsia="宋体" w:hAnsi="Helvetica" w:cs="宋体"/>
          <w:color w:val="5F5F5F"/>
          <w:kern w:val="0"/>
          <w:sz w:val="20"/>
          <w:szCs w:val="20"/>
        </w:rPr>
        <w:t>因是自发性的报告，其副作用的发生频度不明。</w:t>
      </w:r>
    </w:p>
    <w:p w:rsidR="00185404" w:rsidRPr="00185404" w:rsidRDefault="00185404" w:rsidP="002E687D">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185404">
        <w:rPr>
          <w:rFonts w:ascii="Helvetica" w:eastAsia="宋体" w:hAnsi="Helvetica" w:cs="宋体"/>
          <w:b/>
          <w:bCs/>
          <w:color w:val="545454"/>
          <w:kern w:val="0"/>
          <w:sz w:val="21"/>
        </w:rPr>
        <w:t>禁忌</w:t>
      </w:r>
      <w:r w:rsidRPr="00185404">
        <w:rPr>
          <w:rFonts w:ascii="Helvetica" w:eastAsia="宋体" w:hAnsi="Helvetica" w:cs="宋体"/>
          <w:b/>
          <w:bCs/>
          <w:color w:val="545454"/>
          <w:kern w:val="0"/>
          <w:sz w:val="21"/>
        </w:rPr>
        <w:t>:</w:t>
      </w:r>
    </w:p>
    <w:p w:rsidR="00185404" w:rsidRPr="00185404" w:rsidRDefault="00185404" w:rsidP="002E687D">
      <w:pPr>
        <w:widowControl/>
        <w:shd w:val="clear" w:color="auto" w:fill="FFFFFF"/>
        <w:spacing w:after="375"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对本品成分有过敏既往史的患者禁止服用。</w:t>
      </w:r>
    </w:p>
    <w:p w:rsidR="00185404" w:rsidRPr="00185404" w:rsidRDefault="00185404" w:rsidP="002E687D">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185404">
        <w:rPr>
          <w:rFonts w:ascii="Helvetica" w:eastAsia="宋体" w:hAnsi="Helvetica" w:cs="宋体"/>
          <w:b/>
          <w:bCs/>
          <w:color w:val="545454"/>
          <w:kern w:val="0"/>
          <w:sz w:val="21"/>
        </w:rPr>
        <w:t>注意事项</w:t>
      </w:r>
      <w:r w:rsidRPr="00185404">
        <w:rPr>
          <w:rFonts w:ascii="Helvetica" w:eastAsia="宋体" w:hAnsi="Helvetica" w:cs="宋体"/>
          <w:b/>
          <w:bCs/>
          <w:color w:val="545454"/>
          <w:kern w:val="0"/>
          <w:sz w:val="21"/>
        </w:rPr>
        <w:t>:</w:t>
      </w:r>
    </w:p>
    <w:p w:rsidR="00185404" w:rsidRPr="00185404" w:rsidRDefault="00185404" w:rsidP="002E687D">
      <w:pPr>
        <w:widowControl/>
        <w:shd w:val="clear" w:color="auto" w:fill="FFFFFF"/>
        <w:spacing w:after="375"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尚不明确。</w:t>
      </w:r>
    </w:p>
    <w:p w:rsidR="00185404" w:rsidRPr="00185404" w:rsidRDefault="00185404" w:rsidP="002E687D">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185404">
        <w:rPr>
          <w:rFonts w:ascii="Helvetica" w:eastAsia="宋体" w:hAnsi="Helvetica" w:cs="宋体"/>
          <w:b/>
          <w:bCs/>
          <w:color w:val="545454"/>
          <w:kern w:val="0"/>
          <w:sz w:val="21"/>
        </w:rPr>
        <w:t>药物相互作用</w:t>
      </w:r>
      <w:r w:rsidRPr="00185404">
        <w:rPr>
          <w:rFonts w:ascii="Helvetica" w:eastAsia="宋体" w:hAnsi="Helvetica" w:cs="宋体"/>
          <w:b/>
          <w:bCs/>
          <w:color w:val="545454"/>
          <w:kern w:val="0"/>
          <w:sz w:val="21"/>
        </w:rPr>
        <w:t>:</w:t>
      </w:r>
    </w:p>
    <w:p w:rsidR="00185404" w:rsidRPr="00185404" w:rsidRDefault="00185404" w:rsidP="002E687D">
      <w:pPr>
        <w:widowControl/>
        <w:shd w:val="clear" w:color="auto" w:fill="FFFFFF"/>
        <w:spacing w:after="375"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目前尚未见报道。</w:t>
      </w:r>
    </w:p>
    <w:p w:rsidR="00185404" w:rsidRPr="00185404" w:rsidRDefault="00185404" w:rsidP="002E687D">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185404">
        <w:rPr>
          <w:rFonts w:ascii="Helvetica" w:eastAsia="宋体" w:hAnsi="Helvetica" w:cs="宋体"/>
          <w:b/>
          <w:bCs/>
          <w:color w:val="545454"/>
          <w:kern w:val="0"/>
          <w:sz w:val="21"/>
        </w:rPr>
        <w:t>毒理研究</w:t>
      </w:r>
      <w:r w:rsidRPr="00185404">
        <w:rPr>
          <w:rFonts w:ascii="Helvetica" w:eastAsia="宋体" w:hAnsi="Helvetica" w:cs="宋体"/>
          <w:b/>
          <w:bCs/>
          <w:color w:val="545454"/>
          <w:kern w:val="0"/>
          <w:sz w:val="21"/>
        </w:rPr>
        <w:t>:</w:t>
      </w:r>
    </w:p>
    <w:p w:rsidR="00185404" w:rsidRPr="002E687D" w:rsidRDefault="00185404" w:rsidP="002E687D">
      <w:pPr>
        <w:widowControl/>
        <w:shd w:val="clear" w:color="auto" w:fill="FFFFFF"/>
        <w:spacing w:after="375" w:line="220" w:lineRule="exact"/>
        <w:ind w:left="720"/>
        <w:jc w:val="left"/>
        <w:rPr>
          <w:rFonts w:ascii="Helvetica" w:eastAsia="宋体" w:hAnsi="Helvetica" w:cs="宋体"/>
          <w:color w:val="5F5F5F"/>
          <w:kern w:val="0"/>
          <w:sz w:val="20"/>
          <w:szCs w:val="20"/>
        </w:rPr>
      </w:pPr>
      <w:r w:rsidRPr="00185404">
        <w:rPr>
          <w:rFonts w:ascii="Helvetica" w:eastAsia="宋体" w:hAnsi="Helvetica" w:cs="宋体"/>
          <w:color w:val="5F5F5F"/>
          <w:kern w:val="0"/>
          <w:sz w:val="20"/>
          <w:szCs w:val="20"/>
        </w:rPr>
        <w:t>未进行该项实验且无可靠参考文献。</w:t>
      </w:r>
    </w:p>
    <w:sectPr w:rsidR="00185404" w:rsidRPr="002E687D" w:rsidSect="00937F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EE" w:rsidRDefault="00EE09EE" w:rsidP="00BF48DF">
      <w:r>
        <w:separator/>
      </w:r>
    </w:p>
  </w:endnote>
  <w:endnote w:type="continuationSeparator" w:id="0">
    <w:p w:rsidR="00EE09EE" w:rsidRDefault="00EE09EE" w:rsidP="00BF4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EE" w:rsidRDefault="00EE09EE" w:rsidP="00BF48DF">
      <w:r>
        <w:separator/>
      </w:r>
    </w:p>
  </w:footnote>
  <w:footnote w:type="continuationSeparator" w:id="0">
    <w:p w:rsidR="00EE09EE" w:rsidRDefault="00EE09EE" w:rsidP="00BF4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0C" w:rsidRDefault="00194E0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B47EE"/>
    <w:multiLevelType w:val="multilevel"/>
    <w:tmpl w:val="6EF04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A557C4"/>
    <w:multiLevelType w:val="multilevel"/>
    <w:tmpl w:val="9BC4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8A293B"/>
    <w:multiLevelType w:val="multilevel"/>
    <w:tmpl w:val="CAE4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8DF"/>
    <w:rsid w:val="0014055E"/>
    <w:rsid w:val="00185404"/>
    <w:rsid w:val="00194E0C"/>
    <w:rsid w:val="002D3A84"/>
    <w:rsid w:val="002E687D"/>
    <w:rsid w:val="00512442"/>
    <w:rsid w:val="0058159B"/>
    <w:rsid w:val="00937FE1"/>
    <w:rsid w:val="00BF48DF"/>
    <w:rsid w:val="00C1544A"/>
    <w:rsid w:val="00EE0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DF"/>
    <w:pPr>
      <w:widowControl w:val="0"/>
      <w:jc w:val="both"/>
    </w:pPr>
    <w:rPr>
      <w:rFonts w:ascii="Calibri" w:eastAsia="仿宋_GB2312" w:hAnsi="Calibri" w:cs="Times New Roman"/>
      <w:sz w:val="32"/>
      <w:szCs w:val="24"/>
    </w:rPr>
  </w:style>
  <w:style w:type="paragraph" w:styleId="1">
    <w:name w:val="heading 1"/>
    <w:basedOn w:val="a"/>
    <w:next w:val="a"/>
    <w:link w:val="1Char"/>
    <w:uiPriority w:val="9"/>
    <w:qFormat/>
    <w:rsid w:val="0014055E"/>
    <w:pPr>
      <w:keepNext/>
      <w:keepLines/>
      <w:spacing w:before="340" w:after="330" w:line="576" w:lineRule="auto"/>
      <w:ind w:firstLineChars="200" w:firstLine="480"/>
      <w:jc w:val="center"/>
      <w:outlineLvl w:val="0"/>
    </w:pPr>
    <w:rPr>
      <w:rFonts w:ascii="Times New Roman" w:eastAsia="宋体" w:hAnsi="Times New Roman"/>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8DF"/>
    <w:rPr>
      <w:sz w:val="18"/>
      <w:szCs w:val="18"/>
    </w:rPr>
  </w:style>
  <w:style w:type="paragraph" w:styleId="a4">
    <w:name w:val="footer"/>
    <w:basedOn w:val="a"/>
    <w:link w:val="Char0"/>
    <w:uiPriority w:val="99"/>
    <w:semiHidden/>
    <w:unhideWhenUsed/>
    <w:rsid w:val="00BF48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8DF"/>
    <w:rPr>
      <w:sz w:val="18"/>
      <w:szCs w:val="18"/>
    </w:rPr>
  </w:style>
  <w:style w:type="paragraph" w:styleId="a5">
    <w:name w:val="Normal (Web)"/>
    <w:basedOn w:val="a"/>
    <w:uiPriority w:val="99"/>
    <w:qFormat/>
    <w:rsid w:val="00BF48DF"/>
    <w:pPr>
      <w:spacing w:before="100" w:beforeAutospacing="1" w:after="100" w:afterAutospacing="1"/>
      <w:jc w:val="left"/>
    </w:pPr>
    <w:rPr>
      <w:rFonts w:ascii="宋体" w:hAnsi="宋体"/>
      <w:kern w:val="0"/>
      <w:sz w:val="24"/>
    </w:rPr>
  </w:style>
  <w:style w:type="character" w:styleId="a6">
    <w:name w:val="Hyperlink"/>
    <w:basedOn w:val="a0"/>
    <w:uiPriority w:val="99"/>
    <w:unhideWhenUsed/>
    <w:qFormat/>
    <w:rsid w:val="00BF48DF"/>
    <w:rPr>
      <w:color w:val="3A3A3A"/>
      <w:u w:val="none"/>
    </w:rPr>
  </w:style>
  <w:style w:type="paragraph" w:styleId="a7">
    <w:name w:val="Balloon Text"/>
    <w:basedOn w:val="a"/>
    <w:link w:val="Char1"/>
    <w:uiPriority w:val="99"/>
    <w:semiHidden/>
    <w:unhideWhenUsed/>
    <w:rsid w:val="00BF48DF"/>
    <w:rPr>
      <w:sz w:val="18"/>
      <w:szCs w:val="18"/>
    </w:rPr>
  </w:style>
  <w:style w:type="character" w:customStyle="1" w:styleId="Char1">
    <w:name w:val="批注框文本 Char"/>
    <w:basedOn w:val="a0"/>
    <w:link w:val="a7"/>
    <w:uiPriority w:val="99"/>
    <w:semiHidden/>
    <w:rsid w:val="00BF48DF"/>
    <w:rPr>
      <w:rFonts w:ascii="Calibri" w:eastAsia="仿宋_GB2312" w:hAnsi="Calibri" w:cs="Times New Roman"/>
      <w:sz w:val="18"/>
      <w:szCs w:val="18"/>
    </w:rPr>
  </w:style>
  <w:style w:type="character" w:customStyle="1" w:styleId="1Char">
    <w:name w:val="标题 1 Char"/>
    <w:basedOn w:val="a0"/>
    <w:link w:val="1"/>
    <w:uiPriority w:val="9"/>
    <w:qFormat/>
    <w:rsid w:val="0014055E"/>
    <w:rPr>
      <w:rFonts w:ascii="Times New Roman" w:eastAsia="宋体" w:hAnsi="Times New Roman" w:cs="Times New Roman"/>
      <w:b/>
      <w:kern w:val="44"/>
      <w:sz w:val="24"/>
      <w:szCs w:val="24"/>
    </w:rPr>
  </w:style>
  <w:style w:type="character" w:customStyle="1" w:styleId="fl">
    <w:name w:val="fl"/>
    <w:basedOn w:val="a0"/>
    <w:rsid w:val="00185404"/>
  </w:style>
  <w:style w:type="character" w:styleId="a8">
    <w:name w:val="Strong"/>
    <w:basedOn w:val="a0"/>
    <w:uiPriority w:val="22"/>
    <w:qFormat/>
    <w:rsid w:val="00185404"/>
    <w:rPr>
      <w:b/>
      <w:bCs/>
    </w:rPr>
  </w:style>
</w:styles>
</file>

<file path=word/webSettings.xml><?xml version="1.0" encoding="utf-8"?>
<w:webSettings xmlns:r="http://schemas.openxmlformats.org/officeDocument/2006/relationships" xmlns:w="http://schemas.openxmlformats.org/wordprocessingml/2006/main">
  <w:divs>
    <w:div w:id="12324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odf.com/jibing/xiaochua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haodf.com/jibing/xiaochuan.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2019-04-24T05:06:00Z</dcterms:created>
  <dcterms:modified xsi:type="dcterms:W3CDTF">2020-04-24T04:58:00Z</dcterms:modified>
</cp:coreProperties>
</file>